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81600" w14:textId="3FBE4FE6" w:rsidR="00714DC2" w:rsidRPr="00D3300D" w:rsidRDefault="003D3EDE" w:rsidP="00AC4380">
      <w:pPr>
        <w:jc w:val="right"/>
        <w:rPr>
          <w:rFonts w:ascii="Verdana" w:hAnsi="Verdana"/>
          <w:sz w:val="20"/>
          <w:szCs w:val="20"/>
        </w:rPr>
      </w:pPr>
      <w:r w:rsidRPr="003D3EDE">
        <w:rPr>
          <w:rFonts w:ascii="Verdana" w:hAnsi="Verdana"/>
          <w:color w:val="FF0000"/>
          <w:sz w:val="20"/>
          <w:szCs w:val="20"/>
        </w:rPr>
        <w:t xml:space="preserve">… </w:t>
      </w:r>
      <w:r w:rsidR="00AC4380" w:rsidRPr="00D3300D">
        <w:rPr>
          <w:rFonts w:ascii="Verdana" w:hAnsi="Verdana"/>
          <w:sz w:val="20"/>
          <w:szCs w:val="20"/>
        </w:rPr>
        <w:t>, le</w:t>
      </w:r>
      <w:r w:rsidR="00AC4380" w:rsidRPr="003D3EDE">
        <w:rPr>
          <w:rFonts w:ascii="Verdana" w:hAnsi="Verdana"/>
          <w:color w:val="FF0000"/>
          <w:sz w:val="20"/>
          <w:szCs w:val="20"/>
        </w:rPr>
        <w:t xml:space="preserve"> </w:t>
      </w:r>
      <w:r w:rsidRPr="003D3EDE">
        <w:rPr>
          <w:rFonts w:ascii="Verdana" w:hAnsi="Verdana"/>
          <w:color w:val="FF0000"/>
          <w:sz w:val="20"/>
          <w:szCs w:val="20"/>
        </w:rPr>
        <w:t>…</w:t>
      </w:r>
      <w:r w:rsidR="00AC4380" w:rsidRPr="00D3300D">
        <w:rPr>
          <w:rFonts w:ascii="Verdana" w:hAnsi="Verdana"/>
          <w:sz w:val="20"/>
          <w:szCs w:val="20"/>
        </w:rPr>
        <w:t xml:space="preserve"> février 2021</w:t>
      </w:r>
    </w:p>
    <w:p w14:paraId="54BE2153" w14:textId="5553F505" w:rsidR="00AC4380" w:rsidRPr="00D3300D" w:rsidRDefault="00AC4380" w:rsidP="00AC4380">
      <w:pPr>
        <w:rPr>
          <w:rFonts w:ascii="Verdana" w:hAnsi="Verdana"/>
          <w:sz w:val="20"/>
          <w:szCs w:val="20"/>
        </w:rPr>
      </w:pPr>
    </w:p>
    <w:p w14:paraId="49033442" w14:textId="77777777" w:rsidR="00616C63" w:rsidRPr="00D3300D" w:rsidRDefault="00616C63" w:rsidP="00AC4380">
      <w:pPr>
        <w:rPr>
          <w:rFonts w:ascii="Verdana" w:hAnsi="Verdana"/>
          <w:sz w:val="20"/>
          <w:szCs w:val="20"/>
        </w:rPr>
      </w:pPr>
    </w:p>
    <w:p w14:paraId="5883174D" w14:textId="275335DF" w:rsidR="00AC4380" w:rsidRPr="00D3300D" w:rsidRDefault="00AC4380" w:rsidP="00AC4380">
      <w:pPr>
        <w:rPr>
          <w:rFonts w:ascii="Verdana" w:hAnsi="Verdana"/>
          <w:color w:val="FF0000"/>
          <w:sz w:val="20"/>
          <w:szCs w:val="20"/>
        </w:rPr>
      </w:pPr>
      <w:bookmarkStart w:id="0" w:name="_Hlk64462365"/>
      <w:r w:rsidRPr="00D3300D">
        <w:rPr>
          <w:rFonts w:ascii="Verdana" w:hAnsi="Verdana"/>
          <w:color w:val="FF0000"/>
          <w:sz w:val="20"/>
          <w:szCs w:val="20"/>
        </w:rPr>
        <w:t>Monsieur le Député</w:t>
      </w:r>
      <w:r w:rsidR="0065661A" w:rsidRPr="00D3300D">
        <w:rPr>
          <w:rFonts w:ascii="Verdana" w:hAnsi="Verdana"/>
          <w:color w:val="FF0000"/>
          <w:sz w:val="20"/>
          <w:szCs w:val="20"/>
        </w:rPr>
        <w:t xml:space="preserve"> (ou Madame la </w:t>
      </w:r>
      <w:r w:rsidR="00CB330F" w:rsidRPr="00D3300D">
        <w:rPr>
          <w:rFonts w:ascii="Verdana" w:hAnsi="Verdana"/>
          <w:color w:val="FF0000"/>
          <w:sz w:val="20"/>
          <w:szCs w:val="20"/>
        </w:rPr>
        <w:t>D</w:t>
      </w:r>
      <w:r w:rsidR="0065661A" w:rsidRPr="00D3300D">
        <w:rPr>
          <w:rFonts w:ascii="Verdana" w:hAnsi="Verdana"/>
          <w:color w:val="FF0000"/>
          <w:sz w:val="20"/>
          <w:szCs w:val="20"/>
        </w:rPr>
        <w:t>éputée</w:t>
      </w:r>
      <w:r w:rsidRPr="00D3300D">
        <w:rPr>
          <w:rFonts w:ascii="Verdana" w:hAnsi="Verdana"/>
          <w:color w:val="FF0000"/>
          <w:sz w:val="20"/>
          <w:szCs w:val="20"/>
        </w:rPr>
        <w:t>,</w:t>
      </w:r>
      <w:r w:rsidR="00CB330F" w:rsidRPr="00D3300D">
        <w:rPr>
          <w:rFonts w:ascii="Verdana" w:hAnsi="Verdana"/>
          <w:color w:val="FF0000"/>
          <w:sz w:val="20"/>
          <w:szCs w:val="20"/>
        </w:rPr>
        <w:t xml:space="preserve"> ou Madame la Ministre</w:t>
      </w:r>
      <w:r w:rsidR="00616C63" w:rsidRPr="00D3300D">
        <w:rPr>
          <w:rFonts w:ascii="Verdana" w:hAnsi="Verdana"/>
          <w:color w:val="FF0000"/>
          <w:sz w:val="20"/>
          <w:szCs w:val="20"/>
        </w:rPr>
        <w:t>, ou Monsieur le Ministre)</w:t>
      </w:r>
    </w:p>
    <w:bookmarkEnd w:id="0"/>
    <w:p w14:paraId="51B0D471" w14:textId="6E906517" w:rsidR="00616C63" w:rsidRDefault="00616C63" w:rsidP="00AC4380">
      <w:pPr>
        <w:rPr>
          <w:rFonts w:ascii="Verdana" w:hAnsi="Verdana"/>
          <w:sz w:val="20"/>
          <w:szCs w:val="20"/>
        </w:rPr>
      </w:pPr>
    </w:p>
    <w:p w14:paraId="61F3C5C6" w14:textId="77777777" w:rsidR="000B6149" w:rsidRPr="00D3300D" w:rsidRDefault="000B6149" w:rsidP="00944CB7">
      <w:pPr>
        <w:spacing w:after="0"/>
        <w:rPr>
          <w:rFonts w:ascii="Verdana" w:hAnsi="Verdana"/>
          <w:sz w:val="20"/>
          <w:szCs w:val="20"/>
        </w:rPr>
      </w:pPr>
    </w:p>
    <w:p w14:paraId="25924ECA" w14:textId="3A389FE7" w:rsidR="00AC4380" w:rsidRPr="00D3300D" w:rsidRDefault="00AC4380" w:rsidP="00AC4380">
      <w:pPr>
        <w:rPr>
          <w:rFonts w:ascii="Verdana" w:hAnsi="Verdana"/>
          <w:sz w:val="20"/>
          <w:szCs w:val="20"/>
        </w:rPr>
      </w:pPr>
      <w:r w:rsidRPr="00D3300D">
        <w:rPr>
          <w:rFonts w:ascii="Verdana" w:hAnsi="Verdana"/>
          <w:sz w:val="20"/>
          <w:szCs w:val="20"/>
        </w:rPr>
        <w:t xml:space="preserve">Les informations qui nous ont été communiquées par le </w:t>
      </w:r>
      <w:proofErr w:type="spellStart"/>
      <w:r w:rsidRPr="00D3300D">
        <w:rPr>
          <w:rFonts w:ascii="Verdana" w:hAnsi="Verdana"/>
          <w:sz w:val="20"/>
          <w:szCs w:val="20"/>
        </w:rPr>
        <w:t>Se</w:t>
      </w:r>
      <w:r w:rsidR="00D3300D" w:rsidRPr="00D3300D">
        <w:rPr>
          <w:rFonts w:ascii="Verdana" w:hAnsi="Verdana"/>
          <w:sz w:val="20"/>
          <w:szCs w:val="20"/>
        </w:rPr>
        <w:t>GEC</w:t>
      </w:r>
      <w:proofErr w:type="spellEnd"/>
      <w:r w:rsidRPr="00D3300D">
        <w:rPr>
          <w:rFonts w:ascii="Verdana" w:hAnsi="Verdana"/>
          <w:sz w:val="20"/>
          <w:szCs w:val="20"/>
        </w:rPr>
        <w:t xml:space="preserve"> concernant le </w:t>
      </w:r>
      <w:r w:rsidR="00A72511" w:rsidRPr="00D3300D">
        <w:rPr>
          <w:rFonts w:ascii="Verdana" w:hAnsi="Verdana"/>
          <w:sz w:val="20"/>
          <w:szCs w:val="20"/>
        </w:rPr>
        <w:t xml:space="preserve">volet </w:t>
      </w:r>
      <w:r w:rsidR="00A72511" w:rsidRPr="00A20E8D">
        <w:rPr>
          <w:rFonts w:ascii="Verdana" w:hAnsi="Verdana"/>
          <w:b/>
          <w:i/>
          <w:sz w:val="20"/>
          <w:szCs w:val="20"/>
        </w:rPr>
        <w:t>« bâtiments scolaires »</w:t>
      </w:r>
      <w:r w:rsidR="00A72511" w:rsidRPr="00D3300D">
        <w:rPr>
          <w:rFonts w:ascii="Verdana" w:hAnsi="Verdana"/>
          <w:sz w:val="20"/>
          <w:szCs w:val="20"/>
        </w:rPr>
        <w:t xml:space="preserve"> </w:t>
      </w:r>
      <w:r w:rsidR="005D1D78" w:rsidRPr="00D3300D">
        <w:rPr>
          <w:rFonts w:ascii="Verdana" w:hAnsi="Verdana"/>
          <w:sz w:val="20"/>
          <w:szCs w:val="20"/>
        </w:rPr>
        <w:t xml:space="preserve">du </w:t>
      </w:r>
      <w:r w:rsidRPr="00D3300D">
        <w:rPr>
          <w:rFonts w:ascii="Verdana" w:hAnsi="Verdana"/>
          <w:sz w:val="20"/>
          <w:szCs w:val="20"/>
        </w:rPr>
        <w:t xml:space="preserve">projet de plan de relance </w:t>
      </w:r>
      <w:r w:rsidR="000E76E0" w:rsidRPr="00D3300D">
        <w:rPr>
          <w:rFonts w:ascii="Verdana" w:hAnsi="Verdana"/>
          <w:sz w:val="20"/>
          <w:szCs w:val="20"/>
        </w:rPr>
        <w:t xml:space="preserve">de la </w:t>
      </w:r>
      <w:r w:rsidR="00A076AE" w:rsidRPr="00D3300D">
        <w:rPr>
          <w:rFonts w:ascii="Verdana" w:hAnsi="Verdana"/>
          <w:sz w:val="20"/>
          <w:szCs w:val="20"/>
        </w:rPr>
        <w:t>Belgique au niveau fédéral et des entités fédérées</w:t>
      </w:r>
      <w:r w:rsidRPr="00D3300D">
        <w:rPr>
          <w:rFonts w:ascii="Verdana" w:hAnsi="Verdana"/>
          <w:sz w:val="20"/>
          <w:szCs w:val="20"/>
        </w:rPr>
        <w:t xml:space="preserve"> nous incite</w:t>
      </w:r>
      <w:r w:rsidR="00797D98" w:rsidRPr="00D3300D">
        <w:rPr>
          <w:rFonts w:ascii="Verdana" w:hAnsi="Verdana"/>
          <w:sz w:val="20"/>
          <w:szCs w:val="20"/>
        </w:rPr>
        <w:t>nt</w:t>
      </w:r>
      <w:r w:rsidRPr="00D3300D">
        <w:rPr>
          <w:rFonts w:ascii="Verdana" w:hAnsi="Verdana"/>
          <w:sz w:val="20"/>
          <w:szCs w:val="20"/>
        </w:rPr>
        <w:t xml:space="preserve"> à nous tourner vers vous au nom de la communauté scolaire de </w:t>
      </w:r>
      <w:r w:rsidRPr="00D3300D">
        <w:rPr>
          <w:rFonts w:ascii="Verdana" w:hAnsi="Verdana"/>
          <w:color w:val="FF0000"/>
          <w:sz w:val="20"/>
          <w:szCs w:val="20"/>
        </w:rPr>
        <w:t xml:space="preserve">l’Institut Saint…. </w:t>
      </w:r>
      <w:r w:rsidRPr="00D3300D">
        <w:rPr>
          <w:rFonts w:ascii="Verdana" w:hAnsi="Verdana"/>
          <w:sz w:val="20"/>
          <w:szCs w:val="20"/>
        </w:rPr>
        <w:t xml:space="preserve">Ces informations suscitent notre </w:t>
      </w:r>
      <w:r w:rsidR="005D1D78" w:rsidRPr="00357312">
        <w:rPr>
          <w:rFonts w:ascii="Verdana" w:hAnsi="Verdana"/>
          <w:sz w:val="20"/>
          <w:szCs w:val="20"/>
        </w:rPr>
        <w:t xml:space="preserve">totale </w:t>
      </w:r>
      <w:r w:rsidRPr="00357312">
        <w:rPr>
          <w:rFonts w:ascii="Verdana" w:hAnsi="Verdana"/>
          <w:sz w:val="20"/>
          <w:szCs w:val="20"/>
        </w:rPr>
        <w:t>incompréhension</w:t>
      </w:r>
      <w:r w:rsidRPr="00D3300D">
        <w:rPr>
          <w:rFonts w:ascii="Verdana" w:hAnsi="Verdana"/>
          <w:sz w:val="20"/>
          <w:szCs w:val="20"/>
        </w:rPr>
        <w:t xml:space="preserve"> et notre légitime attente</w:t>
      </w:r>
      <w:r w:rsidR="00FC2E0A" w:rsidRPr="00D3300D">
        <w:rPr>
          <w:rFonts w:ascii="Verdana" w:hAnsi="Verdana"/>
          <w:sz w:val="20"/>
          <w:szCs w:val="20"/>
        </w:rPr>
        <w:t xml:space="preserve"> </w:t>
      </w:r>
      <w:r w:rsidRPr="00D3300D">
        <w:rPr>
          <w:rFonts w:ascii="Verdana" w:hAnsi="Verdana"/>
          <w:sz w:val="20"/>
          <w:szCs w:val="20"/>
        </w:rPr>
        <w:t xml:space="preserve">de voir l’autorité publique </w:t>
      </w:r>
      <w:r w:rsidR="005447E7" w:rsidRPr="00D3300D">
        <w:rPr>
          <w:rFonts w:ascii="Verdana" w:hAnsi="Verdana"/>
          <w:sz w:val="20"/>
          <w:szCs w:val="20"/>
        </w:rPr>
        <w:t>modifier ses intentions actuelles</w:t>
      </w:r>
      <w:r w:rsidR="00C57135" w:rsidRPr="00D3300D">
        <w:rPr>
          <w:rFonts w:ascii="Verdana" w:hAnsi="Verdana"/>
          <w:sz w:val="20"/>
          <w:szCs w:val="20"/>
        </w:rPr>
        <w:t xml:space="preserve"> pour assurer</w:t>
      </w:r>
      <w:r w:rsidRPr="00D3300D">
        <w:rPr>
          <w:rFonts w:ascii="Verdana" w:hAnsi="Verdana"/>
          <w:sz w:val="20"/>
          <w:szCs w:val="20"/>
        </w:rPr>
        <w:t xml:space="preserve"> l’équilibre </w:t>
      </w:r>
      <w:r w:rsidR="008906AA" w:rsidRPr="00D3300D">
        <w:rPr>
          <w:rFonts w:ascii="Verdana" w:hAnsi="Verdana"/>
          <w:sz w:val="20"/>
          <w:szCs w:val="20"/>
        </w:rPr>
        <w:t xml:space="preserve">indispensable </w:t>
      </w:r>
      <w:r w:rsidRPr="00D3300D">
        <w:rPr>
          <w:rFonts w:ascii="Verdana" w:hAnsi="Verdana"/>
          <w:sz w:val="20"/>
          <w:szCs w:val="20"/>
        </w:rPr>
        <w:t>dans le financement des différents réseaux scolaires.</w:t>
      </w:r>
      <w:r w:rsidR="00C57135" w:rsidRPr="00D3300D">
        <w:rPr>
          <w:rFonts w:ascii="Verdana" w:hAnsi="Verdana"/>
          <w:sz w:val="20"/>
          <w:szCs w:val="20"/>
        </w:rPr>
        <w:t xml:space="preserve"> </w:t>
      </w:r>
      <w:r w:rsidR="00F21EBC" w:rsidRPr="00D3300D">
        <w:rPr>
          <w:rFonts w:ascii="Verdana" w:hAnsi="Verdana"/>
          <w:sz w:val="20"/>
          <w:szCs w:val="20"/>
        </w:rPr>
        <w:t xml:space="preserve">Dans le seul enseignement catholique, ces dispositions concernent des centaines de milliers de familles et des </w:t>
      </w:r>
      <w:r w:rsidR="004F611C" w:rsidRPr="00D3300D">
        <w:rPr>
          <w:rFonts w:ascii="Verdana" w:hAnsi="Verdana"/>
          <w:sz w:val="20"/>
          <w:szCs w:val="20"/>
        </w:rPr>
        <w:t>dizaines de milliers de membres du personnel.</w:t>
      </w:r>
    </w:p>
    <w:p w14:paraId="02AE570F" w14:textId="754E8D06" w:rsidR="00AC4380" w:rsidRPr="00D3300D" w:rsidRDefault="00AC4380" w:rsidP="00AC4380">
      <w:pPr>
        <w:rPr>
          <w:rFonts w:ascii="Verdana" w:hAnsi="Verdana"/>
          <w:sz w:val="20"/>
          <w:szCs w:val="20"/>
        </w:rPr>
      </w:pPr>
    </w:p>
    <w:p w14:paraId="65BB40C7" w14:textId="03F524C6" w:rsidR="000B6149" w:rsidRPr="00D3300D" w:rsidRDefault="000E4A0D" w:rsidP="00AC4380">
      <w:pPr>
        <w:rPr>
          <w:rFonts w:ascii="Verdana" w:hAnsi="Verdana"/>
          <w:b/>
          <w:bCs/>
          <w:sz w:val="20"/>
          <w:szCs w:val="20"/>
        </w:rPr>
      </w:pPr>
      <w:r w:rsidRPr="00D3300D">
        <w:rPr>
          <w:rFonts w:ascii="Verdana" w:hAnsi="Verdana"/>
          <w:b/>
          <w:bCs/>
          <w:sz w:val="20"/>
          <w:szCs w:val="20"/>
        </w:rPr>
        <w:t>I</w:t>
      </w:r>
      <w:r w:rsidR="00AC4380" w:rsidRPr="00D3300D">
        <w:rPr>
          <w:rFonts w:ascii="Verdana" w:hAnsi="Verdana"/>
          <w:b/>
          <w:bCs/>
          <w:sz w:val="20"/>
          <w:szCs w:val="20"/>
        </w:rPr>
        <w:t>ncompréhension</w:t>
      </w:r>
      <w:r w:rsidR="00E92087" w:rsidRPr="00D3300D">
        <w:rPr>
          <w:rFonts w:ascii="Verdana" w:hAnsi="Verdana"/>
          <w:b/>
          <w:bCs/>
          <w:sz w:val="20"/>
          <w:szCs w:val="20"/>
        </w:rPr>
        <w:t xml:space="preserve"> </w:t>
      </w:r>
      <w:r w:rsidRPr="00D3300D">
        <w:rPr>
          <w:rFonts w:ascii="Verdana" w:hAnsi="Verdana"/>
          <w:b/>
          <w:bCs/>
          <w:sz w:val="20"/>
          <w:szCs w:val="20"/>
        </w:rPr>
        <w:t xml:space="preserve">totale </w:t>
      </w:r>
      <w:r w:rsidR="00E92087" w:rsidRPr="00D3300D">
        <w:rPr>
          <w:rFonts w:ascii="Verdana" w:hAnsi="Verdana"/>
          <w:b/>
          <w:bCs/>
          <w:sz w:val="20"/>
          <w:szCs w:val="20"/>
        </w:rPr>
        <w:t>quant à la répartition d</w:t>
      </w:r>
      <w:r w:rsidR="00CF341B" w:rsidRPr="00D3300D">
        <w:rPr>
          <w:rFonts w:ascii="Verdana" w:hAnsi="Verdana"/>
          <w:b/>
          <w:bCs/>
          <w:sz w:val="20"/>
          <w:szCs w:val="20"/>
        </w:rPr>
        <w:t>u plan de relance entre les réseaux d’enseignement</w:t>
      </w:r>
    </w:p>
    <w:p w14:paraId="3B440541" w14:textId="55F067B0" w:rsidR="008906AA" w:rsidRPr="00D3300D" w:rsidRDefault="008906AA" w:rsidP="00AC4380">
      <w:pPr>
        <w:rPr>
          <w:rFonts w:ascii="Verdana" w:hAnsi="Verdana"/>
          <w:sz w:val="20"/>
          <w:szCs w:val="20"/>
        </w:rPr>
      </w:pPr>
      <w:r w:rsidRPr="00D3300D">
        <w:rPr>
          <w:rFonts w:ascii="Verdana" w:hAnsi="Verdana"/>
          <w:sz w:val="20"/>
          <w:szCs w:val="20"/>
        </w:rPr>
        <w:t xml:space="preserve">Les années qui viennent seront marquées par le défi </w:t>
      </w:r>
      <w:r w:rsidR="00CF341B" w:rsidRPr="00D3300D">
        <w:rPr>
          <w:rFonts w:ascii="Verdana" w:hAnsi="Verdana"/>
          <w:sz w:val="20"/>
          <w:szCs w:val="20"/>
        </w:rPr>
        <w:t xml:space="preserve">de la transition </w:t>
      </w:r>
      <w:r w:rsidRPr="00D3300D">
        <w:rPr>
          <w:rFonts w:ascii="Verdana" w:hAnsi="Verdana"/>
          <w:sz w:val="20"/>
          <w:szCs w:val="20"/>
        </w:rPr>
        <w:t>énergétique et climatique q</w:t>
      </w:r>
      <w:r w:rsidR="00351A0F" w:rsidRPr="00D3300D">
        <w:rPr>
          <w:rFonts w:ascii="Verdana" w:hAnsi="Verdana"/>
          <w:sz w:val="20"/>
          <w:szCs w:val="20"/>
        </w:rPr>
        <w:t>ue</w:t>
      </w:r>
      <w:r w:rsidRPr="00D3300D">
        <w:rPr>
          <w:rFonts w:ascii="Verdana" w:hAnsi="Verdana"/>
          <w:sz w:val="20"/>
          <w:szCs w:val="20"/>
        </w:rPr>
        <w:t xml:space="preserve"> devr</w:t>
      </w:r>
      <w:r w:rsidR="005B72D0" w:rsidRPr="00D3300D">
        <w:rPr>
          <w:rFonts w:ascii="Verdana" w:hAnsi="Verdana"/>
          <w:sz w:val="20"/>
          <w:szCs w:val="20"/>
        </w:rPr>
        <w:t>a</w:t>
      </w:r>
      <w:r w:rsidRPr="00D3300D">
        <w:rPr>
          <w:rFonts w:ascii="Verdana" w:hAnsi="Verdana"/>
          <w:sz w:val="20"/>
          <w:szCs w:val="20"/>
        </w:rPr>
        <w:t xml:space="preserve"> r</w:t>
      </w:r>
      <w:r w:rsidR="00351A0F" w:rsidRPr="00D3300D">
        <w:rPr>
          <w:rFonts w:ascii="Verdana" w:hAnsi="Verdana"/>
          <w:sz w:val="20"/>
          <w:szCs w:val="20"/>
        </w:rPr>
        <w:t>elever</w:t>
      </w:r>
      <w:r w:rsidRPr="00D3300D">
        <w:rPr>
          <w:rFonts w:ascii="Verdana" w:hAnsi="Verdana"/>
          <w:sz w:val="20"/>
          <w:szCs w:val="20"/>
        </w:rPr>
        <w:t xml:space="preserve"> l’ensemble des composantes de la société</w:t>
      </w:r>
      <w:r w:rsidR="00637169" w:rsidRPr="00D3300D">
        <w:rPr>
          <w:rFonts w:ascii="Verdana" w:hAnsi="Verdana"/>
          <w:sz w:val="20"/>
          <w:szCs w:val="20"/>
        </w:rPr>
        <w:t>, en particulier dans le domaine des</w:t>
      </w:r>
      <w:r w:rsidR="00DB4AF8" w:rsidRPr="00D3300D">
        <w:rPr>
          <w:rFonts w:ascii="Verdana" w:hAnsi="Verdana"/>
          <w:sz w:val="20"/>
          <w:szCs w:val="20"/>
        </w:rPr>
        <w:t xml:space="preserve"> </w:t>
      </w:r>
      <w:r w:rsidR="00637169" w:rsidRPr="00D3300D">
        <w:rPr>
          <w:rFonts w:ascii="Verdana" w:hAnsi="Verdana"/>
          <w:sz w:val="20"/>
          <w:szCs w:val="20"/>
        </w:rPr>
        <w:t>bâtiments</w:t>
      </w:r>
      <w:r w:rsidR="00DB4AF8" w:rsidRPr="00D3300D">
        <w:rPr>
          <w:rFonts w:ascii="Verdana" w:hAnsi="Verdana"/>
          <w:sz w:val="20"/>
          <w:szCs w:val="20"/>
        </w:rPr>
        <w:t xml:space="preserve">. </w:t>
      </w:r>
      <w:r w:rsidRPr="00D3300D">
        <w:rPr>
          <w:rFonts w:ascii="Verdana" w:hAnsi="Verdana"/>
          <w:sz w:val="20"/>
          <w:szCs w:val="20"/>
        </w:rPr>
        <w:t xml:space="preserve"> Les Régions wallonne et bruxelloise, compétentes en la matière, ont notamment décidé d’introduire le principe de l’exemplarité énergétique de tous les bâtiments qui remplissent des fonctions d’intérêt public. Pour le secteur de l’enseignement, ceci signifie que </w:t>
      </w:r>
      <w:r w:rsidRPr="0069415F">
        <w:rPr>
          <w:rFonts w:ascii="Verdana" w:hAnsi="Verdana"/>
          <w:b/>
          <w:i/>
          <w:sz w:val="20"/>
          <w:szCs w:val="20"/>
        </w:rPr>
        <w:t>toutes les écoles, officielles ou libres, seront tenues de voir leurs bâtiments se conformer à l’objectif de neutralité carbone</w:t>
      </w:r>
      <w:r w:rsidRPr="00D3300D">
        <w:rPr>
          <w:rFonts w:ascii="Verdana" w:hAnsi="Verdana"/>
          <w:sz w:val="20"/>
          <w:szCs w:val="20"/>
        </w:rPr>
        <w:t>, pour 2035 en Région wallonne et pour 2040 en Région bruxelloise. L’effort à réaliser sera</w:t>
      </w:r>
      <w:r w:rsidR="00DE7CBE" w:rsidRPr="00D3300D">
        <w:rPr>
          <w:rFonts w:ascii="Verdana" w:hAnsi="Verdana"/>
          <w:sz w:val="20"/>
          <w:szCs w:val="20"/>
        </w:rPr>
        <w:t xml:space="preserve"> </w:t>
      </w:r>
      <w:r w:rsidRPr="00D3300D">
        <w:rPr>
          <w:rFonts w:ascii="Verdana" w:hAnsi="Verdana"/>
          <w:sz w:val="20"/>
          <w:szCs w:val="20"/>
        </w:rPr>
        <w:t>extrêmement considérable</w:t>
      </w:r>
      <w:r w:rsidR="00CC3586" w:rsidRPr="00D3300D">
        <w:rPr>
          <w:rFonts w:ascii="Verdana" w:hAnsi="Verdana"/>
          <w:sz w:val="20"/>
          <w:szCs w:val="20"/>
        </w:rPr>
        <w:t xml:space="preserve">. L’Asbl </w:t>
      </w:r>
      <w:proofErr w:type="spellStart"/>
      <w:r w:rsidR="00CC3586" w:rsidRPr="00D3300D">
        <w:rPr>
          <w:rFonts w:ascii="Verdana" w:hAnsi="Verdana"/>
          <w:sz w:val="20"/>
          <w:szCs w:val="20"/>
        </w:rPr>
        <w:t>Climact</w:t>
      </w:r>
      <w:proofErr w:type="spellEnd"/>
      <w:r w:rsidR="00CC3586" w:rsidRPr="00D3300D">
        <w:rPr>
          <w:rFonts w:ascii="Verdana" w:hAnsi="Verdana"/>
          <w:sz w:val="20"/>
          <w:szCs w:val="20"/>
        </w:rPr>
        <w:t xml:space="preserve"> qui conseille le </w:t>
      </w:r>
      <w:r w:rsidR="002E7E51" w:rsidRPr="00D3300D">
        <w:rPr>
          <w:rFonts w:ascii="Verdana" w:hAnsi="Verdana"/>
          <w:sz w:val="20"/>
          <w:szCs w:val="20"/>
        </w:rPr>
        <w:t>M</w:t>
      </w:r>
      <w:r w:rsidR="00CC3586" w:rsidRPr="00D3300D">
        <w:rPr>
          <w:rFonts w:ascii="Verdana" w:hAnsi="Verdana"/>
          <w:sz w:val="20"/>
          <w:szCs w:val="20"/>
        </w:rPr>
        <w:t xml:space="preserve">inistre </w:t>
      </w:r>
      <w:r w:rsidR="002A6BC2" w:rsidRPr="00D3300D">
        <w:rPr>
          <w:rFonts w:ascii="Verdana" w:hAnsi="Verdana"/>
          <w:sz w:val="20"/>
          <w:szCs w:val="20"/>
        </w:rPr>
        <w:t xml:space="preserve">de l’énergie et du climat en Wallonie </w:t>
      </w:r>
      <w:r w:rsidR="00DE7CBE" w:rsidRPr="00D3300D">
        <w:rPr>
          <w:rFonts w:ascii="Verdana" w:hAnsi="Verdana"/>
          <w:sz w:val="20"/>
          <w:szCs w:val="20"/>
        </w:rPr>
        <w:t xml:space="preserve">(Philippe </w:t>
      </w:r>
      <w:r w:rsidR="00CC3586" w:rsidRPr="00D3300D">
        <w:rPr>
          <w:rFonts w:ascii="Verdana" w:hAnsi="Verdana"/>
          <w:sz w:val="20"/>
          <w:szCs w:val="20"/>
        </w:rPr>
        <w:t>Henry</w:t>
      </w:r>
      <w:r w:rsidR="00DE7CBE" w:rsidRPr="00D3300D">
        <w:rPr>
          <w:rFonts w:ascii="Verdana" w:hAnsi="Verdana"/>
          <w:sz w:val="20"/>
          <w:szCs w:val="20"/>
        </w:rPr>
        <w:t>, Ecolo),</w:t>
      </w:r>
      <w:r w:rsidR="00CC3586" w:rsidRPr="00D3300D">
        <w:rPr>
          <w:rFonts w:ascii="Verdana" w:hAnsi="Verdana"/>
          <w:sz w:val="20"/>
          <w:szCs w:val="20"/>
        </w:rPr>
        <w:t xml:space="preserve"> évoque un mon</w:t>
      </w:r>
      <w:r w:rsidR="00B669F8" w:rsidRPr="00D3300D">
        <w:rPr>
          <w:rFonts w:ascii="Verdana" w:hAnsi="Verdana"/>
          <w:sz w:val="20"/>
          <w:szCs w:val="20"/>
        </w:rPr>
        <w:t>tant compris entre 4 et 6 milliards d’euros pour l’ensemble du</w:t>
      </w:r>
      <w:r w:rsidR="00134498" w:rsidRPr="00D3300D">
        <w:rPr>
          <w:rFonts w:ascii="Verdana" w:hAnsi="Verdana"/>
          <w:sz w:val="20"/>
          <w:szCs w:val="20"/>
        </w:rPr>
        <w:t xml:space="preserve"> patrimoine immobilier scolaire</w:t>
      </w:r>
      <w:r w:rsidR="00824817" w:rsidRPr="00D3300D">
        <w:rPr>
          <w:rFonts w:ascii="Verdana" w:hAnsi="Verdana"/>
          <w:sz w:val="20"/>
          <w:szCs w:val="20"/>
        </w:rPr>
        <w:t xml:space="preserve"> en Fédération Wallonie-Bruxelles (FWB)</w:t>
      </w:r>
      <w:r w:rsidR="000A310B" w:rsidRPr="00D3300D">
        <w:rPr>
          <w:rFonts w:ascii="Verdana" w:hAnsi="Verdana"/>
          <w:sz w:val="20"/>
          <w:szCs w:val="20"/>
        </w:rPr>
        <w:t xml:space="preserve">. </w:t>
      </w:r>
      <w:r w:rsidR="00134498" w:rsidRPr="00D3300D">
        <w:rPr>
          <w:rFonts w:ascii="Verdana" w:hAnsi="Verdana"/>
          <w:sz w:val="20"/>
          <w:szCs w:val="20"/>
        </w:rPr>
        <w:t xml:space="preserve"> L</w:t>
      </w:r>
      <w:r w:rsidRPr="00D3300D">
        <w:rPr>
          <w:rFonts w:ascii="Verdana" w:hAnsi="Verdana"/>
          <w:sz w:val="20"/>
          <w:szCs w:val="20"/>
        </w:rPr>
        <w:t xml:space="preserve">es délais </w:t>
      </w:r>
      <w:r w:rsidR="00134498" w:rsidRPr="00D3300D">
        <w:rPr>
          <w:rFonts w:ascii="Verdana" w:hAnsi="Verdana"/>
          <w:sz w:val="20"/>
          <w:szCs w:val="20"/>
        </w:rPr>
        <w:t xml:space="preserve">sont </w:t>
      </w:r>
      <w:r w:rsidRPr="00D3300D">
        <w:rPr>
          <w:rFonts w:ascii="Verdana" w:hAnsi="Verdana"/>
          <w:sz w:val="20"/>
          <w:szCs w:val="20"/>
        </w:rPr>
        <w:t>particulièrement cour</w:t>
      </w:r>
      <w:r w:rsidR="00C27B0D" w:rsidRPr="00D3300D">
        <w:rPr>
          <w:rFonts w:ascii="Verdana" w:hAnsi="Verdana"/>
          <w:sz w:val="20"/>
          <w:szCs w:val="20"/>
        </w:rPr>
        <w:t>t</w:t>
      </w:r>
      <w:r w:rsidRPr="00D3300D">
        <w:rPr>
          <w:rFonts w:ascii="Verdana" w:hAnsi="Verdana"/>
          <w:sz w:val="20"/>
          <w:szCs w:val="20"/>
        </w:rPr>
        <w:t xml:space="preserve">s </w:t>
      </w:r>
      <w:r w:rsidR="005E3814" w:rsidRPr="00D3300D">
        <w:rPr>
          <w:rFonts w:ascii="Verdana" w:hAnsi="Verdana"/>
          <w:sz w:val="20"/>
          <w:szCs w:val="20"/>
        </w:rPr>
        <w:t>et, c</w:t>
      </w:r>
      <w:r w:rsidR="00C27B0D" w:rsidRPr="00D3300D">
        <w:rPr>
          <w:rFonts w:ascii="Verdana" w:hAnsi="Verdana"/>
          <w:sz w:val="20"/>
          <w:szCs w:val="20"/>
        </w:rPr>
        <w:t>omme souvent en Belgique, la complexité est aussi institutionnelle : les Régions établissent les normes</w:t>
      </w:r>
      <w:r w:rsidR="002D09AB" w:rsidRPr="00D3300D">
        <w:rPr>
          <w:rFonts w:ascii="Verdana" w:hAnsi="Verdana"/>
          <w:sz w:val="20"/>
          <w:szCs w:val="20"/>
        </w:rPr>
        <w:t xml:space="preserve"> énergétiques à respecter pour les bâtiments scolaires</w:t>
      </w:r>
      <w:r w:rsidR="00C27B0D" w:rsidRPr="00D3300D">
        <w:rPr>
          <w:rFonts w:ascii="Verdana" w:hAnsi="Verdana"/>
          <w:sz w:val="20"/>
          <w:szCs w:val="20"/>
        </w:rPr>
        <w:t xml:space="preserve"> alors que la F</w:t>
      </w:r>
      <w:r w:rsidR="00D91C42" w:rsidRPr="00D3300D">
        <w:rPr>
          <w:rFonts w:ascii="Verdana" w:hAnsi="Verdana"/>
          <w:sz w:val="20"/>
          <w:szCs w:val="20"/>
        </w:rPr>
        <w:t xml:space="preserve">WB </w:t>
      </w:r>
      <w:r w:rsidR="00C27B0D" w:rsidRPr="00D3300D">
        <w:rPr>
          <w:rFonts w:ascii="Verdana" w:hAnsi="Verdana"/>
          <w:sz w:val="20"/>
          <w:szCs w:val="20"/>
        </w:rPr>
        <w:t>est, elle, en charge d</w:t>
      </w:r>
      <w:r w:rsidR="00AE25FD" w:rsidRPr="00D3300D">
        <w:rPr>
          <w:rFonts w:ascii="Verdana" w:hAnsi="Verdana"/>
          <w:sz w:val="20"/>
          <w:szCs w:val="20"/>
        </w:rPr>
        <w:t xml:space="preserve">u financement de la mise en conformité de ces </w:t>
      </w:r>
      <w:r w:rsidR="0000480A" w:rsidRPr="00D3300D">
        <w:rPr>
          <w:rFonts w:ascii="Verdana" w:hAnsi="Verdana"/>
          <w:sz w:val="20"/>
          <w:szCs w:val="20"/>
        </w:rPr>
        <w:t>bâtiments.</w:t>
      </w:r>
    </w:p>
    <w:p w14:paraId="45548D3B" w14:textId="77777777" w:rsidR="00D3300D" w:rsidRPr="00D3300D" w:rsidRDefault="00C27B0D" w:rsidP="00AC4380">
      <w:pPr>
        <w:rPr>
          <w:rFonts w:ascii="Verdana" w:hAnsi="Verdana"/>
          <w:sz w:val="20"/>
          <w:szCs w:val="20"/>
        </w:rPr>
      </w:pPr>
      <w:r w:rsidRPr="00D3300D">
        <w:rPr>
          <w:rFonts w:ascii="Verdana" w:hAnsi="Verdana"/>
          <w:sz w:val="20"/>
          <w:szCs w:val="20"/>
        </w:rPr>
        <w:t>Le gouvernement de la F</w:t>
      </w:r>
      <w:r w:rsidR="0000480A" w:rsidRPr="00D3300D">
        <w:rPr>
          <w:rFonts w:ascii="Verdana" w:hAnsi="Verdana"/>
          <w:sz w:val="20"/>
          <w:szCs w:val="20"/>
        </w:rPr>
        <w:t>WB (PS</w:t>
      </w:r>
      <w:r w:rsidR="00C03D1D" w:rsidRPr="00D3300D">
        <w:rPr>
          <w:rFonts w:ascii="Verdana" w:hAnsi="Verdana"/>
          <w:sz w:val="20"/>
          <w:szCs w:val="20"/>
        </w:rPr>
        <w:t xml:space="preserve">-MR-Ecolo) </w:t>
      </w:r>
      <w:r w:rsidRPr="00D3300D">
        <w:rPr>
          <w:rFonts w:ascii="Verdana" w:hAnsi="Verdana"/>
          <w:sz w:val="20"/>
          <w:szCs w:val="20"/>
        </w:rPr>
        <w:t xml:space="preserve">a, à juste titre, saisi l’occasion du plan de relance de l’Union européenne pour commencer à relever cet important défi. </w:t>
      </w:r>
      <w:r w:rsidRPr="00357312">
        <w:rPr>
          <w:rFonts w:ascii="Verdana" w:hAnsi="Verdana"/>
          <w:b/>
          <w:i/>
          <w:sz w:val="20"/>
          <w:szCs w:val="20"/>
        </w:rPr>
        <w:t>La manière de répartir ce budget</w:t>
      </w:r>
      <w:r w:rsidRPr="00D3300D">
        <w:rPr>
          <w:rFonts w:ascii="Verdana" w:hAnsi="Verdana"/>
          <w:sz w:val="20"/>
          <w:szCs w:val="20"/>
        </w:rPr>
        <w:t xml:space="preserve"> entre les différentes écoles et réseaux d’enseignement suscite toutefois notre </w:t>
      </w:r>
      <w:r w:rsidR="00133CE5" w:rsidRPr="00357312">
        <w:rPr>
          <w:rFonts w:ascii="Verdana" w:hAnsi="Verdana"/>
          <w:b/>
          <w:i/>
          <w:sz w:val="20"/>
          <w:szCs w:val="20"/>
        </w:rPr>
        <w:t>totale</w:t>
      </w:r>
      <w:r w:rsidRPr="00357312">
        <w:rPr>
          <w:rFonts w:ascii="Verdana" w:hAnsi="Verdana"/>
          <w:b/>
          <w:i/>
          <w:sz w:val="20"/>
          <w:szCs w:val="20"/>
        </w:rPr>
        <w:t xml:space="preserve"> incompréhension</w:t>
      </w:r>
      <w:r w:rsidRPr="00D3300D">
        <w:rPr>
          <w:rFonts w:ascii="Verdana" w:hAnsi="Verdana"/>
          <w:sz w:val="20"/>
          <w:szCs w:val="20"/>
        </w:rPr>
        <w:t xml:space="preserve">. Le tableau ci-dessous compare la répartition actuellement envisagée avec celle qui </w:t>
      </w:r>
      <w:r w:rsidR="009C3022" w:rsidRPr="00D3300D">
        <w:rPr>
          <w:rFonts w:ascii="Verdana" w:hAnsi="Verdana"/>
          <w:sz w:val="20"/>
          <w:szCs w:val="20"/>
        </w:rPr>
        <w:t>s’applique actuellement</w:t>
      </w:r>
      <w:r w:rsidRPr="00D3300D">
        <w:rPr>
          <w:rFonts w:ascii="Verdana" w:hAnsi="Verdana"/>
          <w:sz w:val="20"/>
          <w:szCs w:val="20"/>
        </w:rPr>
        <w:t xml:space="preserve"> pour de tels travaux dans le cadre</w:t>
      </w:r>
      <w:r w:rsidR="00AE0A3D" w:rsidRPr="00D3300D">
        <w:rPr>
          <w:rFonts w:ascii="Verdana" w:hAnsi="Verdana"/>
          <w:sz w:val="20"/>
          <w:szCs w:val="20"/>
        </w:rPr>
        <w:t xml:space="preserve"> du P</w:t>
      </w:r>
      <w:r w:rsidRPr="00D3300D">
        <w:rPr>
          <w:rFonts w:ascii="Verdana" w:hAnsi="Verdana"/>
          <w:sz w:val="20"/>
          <w:szCs w:val="20"/>
        </w:rPr>
        <w:t xml:space="preserve">rogramme </w:t>
      </w:r>
      <w:r w:rsidR="00AE0A3D" w:rsidRPr="00D3300D">
        <w:rPr>
          <w:rFonts w:ascii="Verdana" w:hAnsi="Verdana"/>
          <w:sz w:val="20"/>
          <w:szCs w:val="20"/>
        </w:rPr>
        <w:t>P</w:t>
      </w:r>
      <w:r w:rsidRPr="00D3300D">
        <w:rPr>
          <w:rFonts w:ascii="Verdana" w:hAnsi="Verdana"/>
          <w:sz w:val="20"/>
          <w:szCs w:val="20"/>
        </w:rPr>
        <w:t xml:space="preserve">rioritaires de </w:t>
      </w:r>
      <w:r w:rsidR="00AE0A3D" w:rsidRPr="00D3300D">
        <w:rPr>
          <w:rFonts w:ascii="Verdana" w:hAnsi="Verdana"/>
          <w:sz w:val="20"/>
          <w:szCs w:val="20"/>
        </w:rPr>
        <w:t>T</w:t>
      </w:r>
      <w:r w:rsidRPr="00D3300D">
        <w:rPr>
          <w:rFonts w:ascii="Verdana" w:hAnsi="Verdana"/>
          <w:sz w:val="20"/>
          <w:szCs w:val="20"/>
        </w:rPr>
        <w:t>ravaux</w:t>
      </w:r>
      <w:r w:rsidR="00AE0A3D" w:rsidRPr="00D3300D">
        <w:rPr>
          <w:rFonts w:ascii="Verdana" w:hAnsi="Verdana"/>
          <w:sz w:val="20"/>
          <w:szCs w:val="20"/>
        </w:rPr>
        <w:t xml:space="preserve"> (PPT)</w:t>
      </w:r>
      <w:r w:rsidR="00180FAF" w:rsidRPr="00D3300D">
        <w:rPr>
          <w:rFonts w:ascii="Verdana" w:hAnsi="Verdana"/>
          <w:sz w:val="20"/>
          <w:szCs w:val="20"/>
        </w:rPr>
        <w:t xml:space="preserve">, à savoir une répartition directement liée au nombre d’élèves </w:t>
      </w:r>
      <w:r w:rsidR="00FA27C7" w:rsidRPr="00D3300D">
        <w:rPr>
          <w:rFonts w:ascii="Verdana" w:hAnsi="Verdana"/>
          <w:sz w:val="20"/>
          <w:szCs w:val="20"/>
        </w:rPr>
        <w:t>ou d’étudiants scolarisés dans chaque réseau d’enseignement.</w:t>
      </w:r>
      <w:r w:rsidR="009A0B24" w:rsidRPr="00D3300D">
        <w:rPr>
          <w:rFonts w:ascii="Verdana" w:hAnsi="Verdana"/>
          <w:sz w:val="20"/>
          <w:szCs w:val="20"/>
        </w:rPr>
        <w:t xml:space="preserve"> </w:t>
      </w:r>
    </w:p>
    <w:p w14:paraId="23244AA5" w14:textId="3105C49D" w:rsidR="00C27B0D" w:rsidRPr="00D3300D" w:rsidRDefault="00DD066F" w:rsidP="00AC4380">
      <w:pPr>
        <w:rPr>
          <w:rFonts w:ascii="Verdana" w:hAnsi="Verdana"/>
          <w:sz w:val="20"/>
          <w:szCs w:val="20"/>
        </w:rPr>
      </w:pPr>
      <w:r w:rsidRPr="00D3300D">
        <w:rPr>
          <w:rFonts w:ascii="Verdana" w:hAnsi="Verdana"/>
          <w:sz w:val="20"/>
          <w:szCs w:val="20"/>
        </w:rPr>
        <w:t xml:space="preserve">Un tel </w:t>
      </w:r>
      <w:r w:rsidR="009A0B24" w:rsidRPr="00D3300D">
        <w:rPr>
          <w:rFonts w:ascii="Verdana" w:hAnsi="Verdana"/>
          <w:sz w:val="20"/>
          <w:szCs w:val="20"/>
        </w:rPr>
        <w:t>prog</w:t>
      </w:r>
      <w:r w:rsidR="00044AD9" w:rsidRPr="00D3300D">
        <w:rPr>
          <w:rFonts w:ascii="Verdana" w:hAnsi="Verdana"/>
          <w:sz w:val="20"/>
          <w:szCs w:val="20"/>
        </w:rPr>
        <w:t>ramme existe depuis les années 1990, même s’il a, au fil d</w:t>
      </w:r>
      <w:r w:rsidR="00BB3A5C" w:rsidRPr="00D3300D">
        <w:rPr>
          <w:rFonts w:ascii="Verdana" w:hAnsi="Verdana"/>
          <w:sz w:val="20"/>
          <w:szCs w:val="20"/>
        </w:rPr>
        <w:t>u temps, connu des appellations et des déclinaisons différentes</w:t>
      </w:r>
      <w:r w:rsidR="003725CA" w:rsidRPr="00D3300D">
        <w:rPr>
          <w:rFonts w:ascii="Verdana" w:hAnsi="Verdana"/>
          <w:sz w:val="20"/>
          <w:szCs w:val="20"/>
        </w:rPr>
        <w:t> : programme d’urgence (PU), programme des travaux de première nécessité (PTPN)</w:t>
      </w:r>
      <w:r w:rsidRPr="00D3300D">
        <w:rPr>
          <w:rFonts w:ascii="Verdana" w:hAnsi="Verdana"/>
          <w:sz w:val="20"/>
          <w:szCs w:val="20"/>
        </w:rPr>
        <w:t xml:space="preserve"> et, aujourd’hui,</w:t>
      </w:r>
      <w:r w:rsidR="00D34FD8" w:rsidRPr="00D3300D">
        <w:rPr>
          <w:rFonts w:ascii="Verdana" w:hAnsi="Verdana"/>
          <w:sz w:val="20"/>
          <w:szCs w:val="20"/>
        </w:rPr>
        <w:t xml:space="preserve"> programme pri</w:t>
      </w:r>
      <w:r w:rsidR="00E917F5" w:rsidRPr="00D3300D">
        <w:rPr>
          <w:rFonts w:ascii="Verdana" w:hAnsi="Verdana"/>
          <w:sz w:val="20"/>
          <w:szCs w:val="20"/>
        </w:rPr>
        <w:t>oritaire de travaux (PPT).</w:t>
      </w:r>
    </w:p>
    <w:p w14:paraId="22535BE2" w14:textId="4C1F98EA" w:rsidR="00C27B0D" w:rsidRPr="00D3300D" w:rsidRDefault="00C27B0D" w:rsidP="00AC4380">
      <w:pPr>
        <w:rPr>
          <w:rFonts w:ascii="Verdana" w:hAnsi="Verdana"/>
          <w:sz w:val="20"/>
          <w:szCs w:val="20"/>
        </w:rPr>
      </w:pPr>
    </w:p>
    <w:tbl>
      <w:tblPr>
        <w:tblStyle w:val="Grilledutableau"/>
        <w:tblW w:w="0" w:type="auto"/>
        <w:jc w:val="center"/>
        <w:tblLook w:val="04A0" w:firstRow="1" w:lastRow="0" w:firstColumn="1" w:lastColumn="0" w:noHBand="0" w:noVBand="1"/>
      </w:tblPr>
      <w:tblGrid>
        <w:gridCol w:w="2547"/>
        <w:gridCol w:w="1984"/>
        <w:gridCol w:w="1848"/>
        <w:gridCol w:w="2127"/>
      </w:tblGrid>
      <w:tr w:rsidR="008B086A" w14:paraId="0B050A12" w14:textId="77777777" w:rsidTr="00571037">
        <w:trPr>
          <w:trHeight w:val="875"/>
          <w:jc w:val="center"/>
        </w:trPr>
        <w:tc>
          <w:tcPr>
            <w:tcW w:w="2547" w:type="dxa"/>
            <w:vAlign w:val="center"/>
          </w:tcPr>
          <w:p w14:paraId="72B417EF" w14:textId="58F4D203" w:rsidR="008B086A" w:rsidRPr="00571037" w:rsidRDefault="008B086A" w:rsidP="008B086A">
            <w:pPr>
              <w:jc w:val="center"/>
              <w:rPr>
                <w:rFonts w:ascii="Verdana" w:hAnsi="Verdana"/>
                <w:b/>
                <w:bCs/>
                <w:sz w:val="16"/>
                <w:szCs w:val="16"/>
              </w:rPr>
            </w:pPr>
            <w:r w:rsidRPr="00571037">
              <w:rPr>
                <w:rFonts w:ascii="Verdana" w:hAnsi="Verdana"/>
                <w:b/>
                <w:bCs/>
                <w:sz w:val="16"/>
                <w:szCs w:val="16"/>
              </w:rPr>
              <w:lastRenderedPageBreak/>
              <w:t>Clés de répartition du plan de relance</w:t>
            </w:r>
          </w:p>
        </w:tc>
        <w:tc>
          <w:tcPr>
            <w:tcW w:w="1984" w:type="dxa"/>
            <w:tcBorders>
              <w:bottom w:val="single" w:sz="4" w:space="0" w:color="auto"/>
            </w:tcBorders>
            <w:vAlign w:val="center"/>
          </w:tcPr>
          <w:p w14:paraId="020711F5" w14:textId="3B0E5652" w:rsidR="008B086A" w:rsidRPr="00571037" w:rsidRDefault="008B086A" w:rsidP="008B086A">
            <w:pPr>
              <w:jc w:val="center"/>
              <w:rPr>
                <w:rFonts w:ascii="Verdana" w:hAnsi="Verdana"/>
                <w:b/>
                <w:bCs/>
                <w:sz w:val="16"/>
                <w:szCs w:val="16"/>
              </w:rPr>
            </w:pPr>
            <w:r w:rsidRPr="00571037">
              <w:rPr>
                <w:rFonts w:ascii="Verdana" w:hAnsi="Verdana"/>
                <w:b/>
                <w:bCs/>
                <w:sz w:val="16"/>
                <w:szCs w:val="16"/>
              </w:rPr>
              <w:t>Wallonie-Bruxelles Enseignement (WBE)</w:t>
            </w:r>
          </w:p>
        </w:tc>
        <w:tc>
          <w:tcPr>
            <w:tcW w:w="1848" w:type="dxa"/>
            <w:tcBorders>
              <w:bottom w:val="single" w:sz="4" w:space="0" w:color="auto"/>
            </w:tcBorders>
            <w:vAlign w:val="center"/>
          </w:tcPr>
          <w:p w14:paraId="6448874B" w14:textId="3AF3A57E" w:rsidR="008B086A" w:rsidRPr="00571037" w:rsidRDefault="008B086A" w:rsidP="008B086A">
            <w:pPr>
              <w:jc w:val="center"/>
              <w:rPr>
                <w:rFonts w:ascii="Verdana" w:hAnsi="Verdana"/>
                <w:b/>
                <w:bCs/>
                <w:sz w:val="16"/>
                <w:szCs w:val="16"/>
              </w:rPr>
            </w:pPr>
            <w:r w:rsidRPr="00571037">
              <w:rPr>
                <w:rFonts w:ascii="Verdana" w:hAnsi="Verdana"/>
                <w:b/>
                <w:bCs/>
                <w:sz w:val="16"/>
                <w:szCs w:val="16"/>
              </w:rPr>
              <w:t>Communes, provinces et COCOF</w:t>
            </w:r>
          </w:p>
        </w:tc>
        <w:tc>
          <w:tcPr>
            <w:tcW w:w="2127" w:type="dxa"/>
            <w:tcBorders>
              <w:bottom w:val="single" w:sz="4" w:space="0" w:color="auto"/>
            </w:tcBorders>
            <w:vAlign w:val="center"/>
          </w:tcPr>
          <w:p w14:paraId="4D7B374B" w14:textId="40D26CEC" w:rsidR="008B086A" w:rsidRPr="00571037" w:rsidRDefault="008B086A" w:rsidP="008B086A">
            <w:pPr>
              <w:jc w:val="center"/>
              <w:rPr>
                <w:rFonts w:ascii="Verdana" w:hAnsi="Verdana"/>
                <w:b/>
                <w:bCs/>
                <w:sz w:val="16"/>
                <w:szCs w:val="16"/>
              </w:rPr>
            </w:pPr>
            <w:r w:rsidRPr="00571037">
              <w:rPr>
                <w:rFonts w:ascii="Verdana" w:hAnsi="Verdana"/>
                <w:b/>
                <w:bCs/>
                <w:sz w:val="16"/>
                <w:szCs w:val="16"/>
              </w:rPr>
              <w:t>Libre confessionnel et non confessionnel</w:t>
            </w:r>
          </w:p>
        </w:tc>
      </w:tr>
      <w:tr w:rsidR="008B086A" w14:paraId="467C6434" w14:textId="77777777" w:rsidTr="00571037">
        <w:trPr>
          <w:trHeight w:val="447"/>
          <w:jc w:val="center"/>
        </w:trPr>
        <w:tc>
          <w:tcPr>
            <w:tcW w:w="2547" w:type="dxa"/>
            <w:tcBorders>
              <w:right w:val="nil"/>
            </w:tcBorders>
            <w:vAlign w:val="center"/>
          </w:tcPr>
          <w:p w14:paraId="59C55BDE" w14:textId="60E29847" w:rsidR="008B086A" w:rsidRPr="008B086A" w:rsidRDefault="008B086A" w:rsidP="008B086A">
            <w:pPr>
              <w:rPr>
                <w:rFonts w:ascii="Verdana" w:hAnsi="Verdana"/>
                <w:b/>
                <w:bCs/>
                <w:sz w:val="20"/>
                <w:szCs w:val="20"/>
              </w:rPr>
            </w:pPr>
            <w:r w:rsidRPr="00571037">
              <w:rPr>
                <w:rFonts w:ascii="Verdana" w:hAnsi="Verdana"/>
                <w:b/>
                <w:bCs/>
                <w:sz w:val="18"/>
                <w:szCs w:val="18"/>
              </w:rPr>
              <w:t>En pourcentage</w:t>
            </w:r>
          </w:p>
        </w:tc>
        <w:tc>
          <w:tcPr>
            <w:tcW w:w="1984" w:type="dxa"/>
            <w:tcBorders>
              <w:left w:val="nil"/>
              <w:right w:val="nil"/>
            </w:tcBorders>
            <w:vAlign w:val="center"/>
          </w:tcPr>
          <w:p w14:paraId="03622C71" w14:textId="77777777" w:rsidR="008B086A" w:rsidRDefault="008B086A" w:rsidP="008B086A">
            <w:pPr>
              <w:jc w:val="center"/>
              <w:rPr>
                <w:rFonts w:ascii="Verdana" w:hAnsi="Verdana"/>
                <w:sz w:val="20"/>
                <w:szCs w:val="20"/>
              </w:rPr>
            </w:pPr>
          </w:p>
        </w:tc>
        <w:tc>
          <w:tcPr>
            <w:tcW w:w="1848" w:type="dxa"/>
            <w:tcBorders>
              <w:left w:val="nil"/>
              <w:right w:val="nil"/>
            </w:tcBorders>
            <w:vAlign w:val="center"/>
          </w:tcPr>
          <w:p w14:paraId="684FA7E4" w14:textId="77777777" w:rsidR="008B086A" w:rsidRDefault="008B086A" w:rsidP="008B086A">
            <w:pPr>
              <w:jc w:val="center"/>
              <w:rPr>
                <w:rFonts w:ascii="Verdana" w:hAnsi="Verdana"/>
                <w:sz w:val="20"/>
                <w:szCs w:val="20"/>
              </w:rPr>
            </w:pPr>
          </w:p>
        </w:tc>
        <w:tc>
          <w:tcPr>
            <w:tcW w:w="2127" w:type="dxa"/>
            <w:tcBorders>
              <w:left w:val="nil"/>
            </w:tcBorders>
            <w:vAlign w:val="center"/>
          </w:tcPr>
          <w:p w14:paraId="52E8C28C" w14:textId="77777777" w:rsidR="008B086A" w:rsidRDefault="008B086A" w:rsidP="008B086A">
            <w:pPr>
              <w:jc w:val="center"/>
              <w:rPr>
                <w:rFonts w:ascii="Verdana" w:hAnsi="Verdana"/>
                <w:sz w:val="20"/>
                <w:szCs w:val="20"/>
              </w:rPr>
            </w:pPr>
          </w:p>
        </w:tc>
      </w:tr>
      <w:tr w:rsidR="008B086A" w14:paraId="038B46DF" w14:textId="77777777" w:rsidTr="00571037">
        <w:trPr>
          <w:trHeight w:val="394"/>
          <w:jc w:val="center"/>
        </w:trPr>
        <w:tc>
          <w:tcPr>
            <w:tcW w:w="2547" w:type="dxa"/>
            <w:vAlign w:val="center"/>
          </w:tcPr>
          <w:p w14:paraId="2D1CF596" w14:textId="269065FD" w:rsidR="008B086A" w:rsidRPr="008B086A" w:rsidRDefault="008B086A" w:rsidP="008B086A">
            <w:pPr>
              <w:rPr>
                <w:rFonts w:ascii="Verdana" w:hAnsi="Verdana"/>
                <w:sz w:val="16"/>
                <w:szCs w:val="16"/>
              </w:rPr>
            </w:pPr>
            <w:r w:rsidRPr="008B086A">
              <w:rPr>
                <w:rFonts w:ascii="Verdana" w:hAnsi="Verdana"/>
                <w:sz w:val="16"/>
                <w:szCs w:val="16"/>
              </w:rPr>
              <w:t>Nombre d’élèves</w:t>
            </w:r>
          </w:p>
        </w:tc>
        <w:tc>
          <w:tcPr>
            <w:tcW w:w="1984" w:type="dxa"/>
            <w:vAlign w:val="center"/>
          </w:tcPr>
          <w:p w14:paraId="4B063509" w14:textId="48766CB7" w:rsidR="008B086A" w:rsidRPr="008B086A" w:rsidRDefault="008B086A" w:rsidP="008B086A">
            <w:pPr>
              <w:jc w:val="center"/>
              <w:rPr>
                <w:rFonts w:ascii="Verdana" w:hAnsi="Verdana"/>
                <w:sz w:val="16"/>
                <w:szCs w:val="16"/>
              </w:rPr>
            </w:pPr>
            <w:r w:rsidRPr="008B086A">
              <w:rPr>
                <w:rFonts w:ascii="Verdana" w:hAnsi="Verdana"/>
                <w:sz w:val="16"/>
                <w:szCs w:val="16"/>
              </w:rPr>
              <w:t>15%</w:t>
            </w:r>
          </w:p>
        </w:tc>
        <w:tc>
          <w:tcPr>
            <w:tcW w:w="1848" w:type="dxa"/>
            <w:vAlign w:val="center"/>
          </w:tcPr>
          <w:p w14:paraId="482D874A" w14:textId="73F15CBF" w:rsidR="008B086A" w:rsidRPr="008B086A" w:rsidRDefault="008B086A" w:rsidP="008B086A">
            <w:pPr>
              <w:jc w:val="center"/>
              <w:rPr>
                <w:rFonts w:ascii="Verdana" w:hAnsi="Verdana"/>
                <w:sz w:val="16"/>
                <w:szCs w:val="16"/>
              </w:rPr>
            </w:pPr>
            <w:r w:rsidRPr="008B086A">
              <w:rPr>
                <w:rFonts w:ascii="Verdana" w:hAnsi="Verdana"/>
                <w:sz w:val="16"/>
                <w:szCs w:val="16"/>
              </w:rPr>
              <w:t>35%</w:t>
            </w:r>
          </w:p>
        </w:tc>
        <w:tc>
          <w:tcPr>
            <w:tcW w:w="2127" w:type="dxa"/>
            <w:vAlign w:val="center"/>
          </w:tcPr>
          <w:p w14:paraId="15AC06BD" w14:textId="2160BB7D" w:rsidR="008B086A" w:rsidRPr="008B086A" w:rsidRDefault="008B086A" w:rsidP="008B086A">
            <w:pPr>
              <w:jc w:val="center"/>
              <w:rPr>
                <w:rFonts w:ascii="Verdana" w:hAnsi="Verdana"/>
                <w:sz w:val="16"/>
                <w:szCs w:val="16"/>
              </w:rPr>
            </w:pPr>
            <w:r w:rsidRPr="008B086A">
              <w:rPr>
                <w:rFonts w:ascii="Verdana" w:hAnsi="Verdana"/>
                <w:sz w:val="16"/>
                <w:szCs w:val="16"/>
              </w:rPr>
              <w:t>50%</w:t>
            </w:r>
          </w:p>
        </w:tc>
      </w:tr>
      <w:tr w:rsidR="008B086A" w14:paraId="662C4417" w14:textId="77777777" w:rsidTr="008B086A">
        <w:trPr>
          <w:jc w:val="center"/>
        </w:trPr>
        <w:tc>
          <w:tcPr>
            <w:tcW w:w="2547" w:type="dxa"/>
            <w:vAlign w:val="center"/>
          </w:tcPr>
          <w:p w14:paraId="577645DD" w14:textId="77777777" w:rsidR="008B086A" w:rsidRDefault="008B086A" w:rsidP="008B086A">
            <w:pPr>
              <w:rPr>
                <w:rFonts w:ascii="Verdana" w:hAnsi="Verdana"/>
                <w:sz w:val="16"/>
                <w:szCs w:val="16"/>
              </w:rPr>
            </w:pPr>
            <w:r w:rsidRPr="008B086A">
              <w:rPr>
                <w:rFonts w:ascii="Verdana" w:hAnsi="Verdana"/>
                <w:sz w:val="16"/>
                <w:szCs w:val="16"/>
              </w:rPr>
              <w:t xml:space="preserve">PPT en vigueur </w:t>
            </w:r>
          </w:p>
          <w:p w14:paraId="112A940F" w14:textId="5259BB60" w:rsidR="008B086A" w:rsidRPr="008B086A" w:rsidRDefault="008B086A" w:rsidP="008B086A">
            <w:pPr>
              <w:rPr>
                <w:rFonts w:ascii="Verdana" w:hAnsi="Verdana"/>
                <w:sz w:val="16"/>
                <w:szCs w:val="16"/>
              </w:rPr>
            </w:pPr>
            <w:r w:rsidRPr="008B086A">
              <w:rPr>
                <w:rFonts w:ascii="Verdana" w:hAnsi="Verdana"/>
                <w:sz w:val="16"/>
                <w:szCs w:val="16"/>
              </w:rPr>
              <w:t>depuis les années 1990</w:t>
            </w:r>
          </w:p>
        </w:tc>
        <w:tc>
          <w:tcPr>
            <w:tcW w:w="1984" w:type="dxa"/>
            <w:vAlign w:val="center"/>
          </w:tcPr>
          <w:p w14:paraId="297EBC06" w14:textId="1F30F28C" w:rsidR="008B086A" w:rsidRPr="008B086A" w:rsidRDefault="008B086A" w:rsidP="008B086A">
            <w:pPr>
              <w:jc w:val="center"/>
              <w:rPr>
                <w:rFonts w:ascii="Verdana" w:hAnsi="Verdana"/>
                <w:sz w:val="16"/>
                <w:szCs w:val="16"/>
              </w:rPr>
            </w:pPr>
            <w:r w:rsidRPr="008B086A">
              <w:rPr>
                <w:rFonts w:ascii="Verdana" w:hAnsi="Verdana"/>
                <w:sz w:val="16"/>
                <w:szCs w:val="16"/>
              </w:rPr>
              <w:t>15%</w:t>
            </w:r>
          </w:p>
        </w:tc>
        <w:tc>
          <w:tcPr>
            <w:tcW w:w="1848" w:type="dxa"/>
            <w:vAlign w:val="center"/>
          </w:tcPr>
          <w:p w14:paraId="7DFFEAF9" w14:textId="7339B877" w:rsidR="008B086A" w:rsidRPr="008B086A" w:rsidRDefault="008B086A" w:rsidP="008B086A">
            <w:pPr>
              <w:jc w:val="center"/>
              <w:rPr>
                <w:rFonts w:ascii="Verdana" w:hAnsi="Verdana"/>
                <w:sz w:val="16"/>
                <w:szCs w:val="16"/>
              </w:rPr>
            </w:pPr>
            <w:r w:rsidRPr="008B086A">
              <w:rPr>
                <w:rFonts w:ascii="Verdana" w:hAnsi="Verdana"/>
                <w:sz w:val="16"/>
                <w:szCs w:val="16"/>
              </w:rPr>
              <w:t>35%</w:t>
            </w:r>
          </w:p>
        </w:tc>
        <w:tc>
          <w:tcPr>
            <w:tcW w:w="2127" w:type="dxa"/>
            <w:vAlign w:val="center"/>
          </w:tcPr>
          <w:p w14:paraId="5DE64685" w14:textId="5DCBF497" w:rsidR="008B086A" w:rsidRPr="008B086A" w:rsidRDefault="008B086A" w:rsidP="008B086A">
            <w:pPr>
              <w:jc w:val="center"/>
              <w:rPr>
                <w:rFonts w:ascii="Verdana" w:hAnsi="Verdana"/>
                <w:sz w:val="16"/>
                <w:szCs w:val="16"/>
              </w:rPr>
            </w:pPr>
            <w:r w:rsidRPr="008B086A">
              <w:rPr>
                <w:rFonts w:ascii="Verdana" w:hAnsi="Verdana"/>
                <w:sz w:val="16"/>
                <w:szCs w:val="16"/>
              </w:rPr>
              <w:t>50%</w:t>
            </w:r>
          </w:p>
        </w:tc>
      </w:tr>
      <w:tr w:rsidR="008B086A" w14:paraId="7D8C2018" w14:textId="77777777" w:rsidTr="00571037">
        <w:trPr>
          <w:jc w:val="center"/>
        </w:trPr>
        <w:tc>
          <w:tcPr>
            <w:tcW w:w="2547" w:type="dxa"/>
            <w:vAlign w:val="center"/>
          </w:tcPr>
          <w:p w14:paraId="4B3D1626" w14:textId="3DB94DDF" w:rsidR="008B086A" w:rsidRDefault="008B086A" w:rsidP="008B086A">
            <w:pPr>
              <w:rPr>
                <w:rFonts w:ascii="Verdana" w:hAnsi="Verdana"/>
                <w:sz w:val="20"/>
                <w:szCs w:val="20"/>
              </w:rPr>
            </w:pPr>
            <w:r w:rsidRPr="008B086A">
              <w:rPr>
                <w:rFonts w:ascii="Verdana" w:hAnsi="Verdana"/>
                <w:sz w:val="16"/>
                <w:szCs w:val="16"/>
              </w:rPr>
              <w:t>Intention du</w:t>
            </w:r>
            <w:r>
              <w:rPr>
                <w:rFonts w:ascii="Verdana" w:hAnsi="Verdana"/>
                <w:sz w:val="16"/>
                <w:szCs w:val="16"/>
              </w:rPr>
              <w:t xml:space="preserve"> </w:t>
            </w:r>
            <w:r w:rsidRPr="008B086A">
              <w:rPr>
                <w:rFonts w:ascii="Verdana" w:hAnsi="Verdana"/>
                <w:sz w:val="16"/>
                <w:szCs w:val="16"/>
              </w:rPr>
              <w:t>gouvernement</w:t>
            </w:r>
            <w:r w:rsidR="00571037">
              <w:rPr>
                <w:rFonts w:ascii="Verdana" w:hAnsi="Verdana"/>
                <w:sz w:val="16"/>
                <w:szCs w:val="16"/>
              </w:rPr>
              <w:t xml:space="preserve"> (2021)</w:t>
            </w:r>
          </w:p>
        </w:tc>
        <w:tc>
          <w:tcPr>
            <w:tcW w:w="1984" w:type="dxa"/>
            <w:tcBorders>
              <w:bottom w:val="single" w:sz="4" w:space="0" w:color="auto"/>
            </w:tcBorders>
            <w:vAlign w:val="center"/>
          </w:tcPr>
          <w:p w14:paraId="018789F3" w14:textId="056DA4E2" w:rsidR="008B086A" w:rsidRPr="008B086A" w:rsidRDefault="008B086A" w:rsidP="008B086A">
            <w:pPr>
              <w:jc w:val="center"/>
              <w:rPr>
                <w:rFonts w:ascii="Verdana" w:hAnsi="Verdana"/>
                <w:sz w:val="16"/>
                <w:szCs w:val="16"/>
              </w:rPr>
            </w:pPr>
            <w:r w:rsidRPr="008B086A">
              <w:rPr>
                <w:rFonts w:ascii="Verdana" w:hAnsi="Verdana"/>
                <w:sz w:val="16"/>
                <w:szCs w:val="16"/>
              </w:rPr>
              <w:t>58,6%</w:t>
            </w:r>
          </w:p>
        </w:tc>
        <w:tc>
          <w:tcPr>
            <w:tcW w:w="1848" w:type="dxa"/>
            <w:tcBorders>
              <w:bottom w:val="single" w:sz="4" w:space="0" w:color="auto"/>
            </w:tcBorders>
            <w:vAlign w:val="center"/>
          </w:tcPr>
          <w:p w14:paraId="47C3D019" w14:textId="71FDFDE2" w:rsidR="008B086A" w:rsidRPr="008B086A" w:rsidRDefault="008B086A" w:rsidP="008B086A">
            <w:pPr>
              <w:jc w:val="center"/>
              <w:rPr>
                <w:rFonts w:ascii="Verdana" w:hAnsi="Verdana"/>
                <w:sz w:val="16"/>
                <w:szCs w:val="16"/>
              </w:rPr>
            </w:pPr>
            <w:r w:rsidRPr="008B086A">
              <w:rPr>
                <w:rFonts w:ascii="Verdana" w:hAnsi="Verdana"/>
                <w:sz w:val="16"/>
                <w:szCs w:val="16"/>
              </w:rPr>
              <w:t>22,9%</w:t>
            </w:r>
          </w:p>
        </w:tc>
        <w:tc>
          <w:tcPr>
            <w:tcW w:w="2127" w:type="dxa"/>
            <w:tcBorders>
              <w:bottom w:val="single" w:sz="4" w:space="0" w:color="auto"/>
            </w:tcBorders>
            <w:vAlign w:val="center"/>
          </w:tcPr>
          <w:p w14:paraId="3E1317FD" w14:textId="2642C65A" w:rsidR="008B086A" w:rsidRPr="008B086A" w:rsidRDefault="008B086A" w:rsidP="008B086A">
            <w:pPr>
              <w:jc w:val="center"/>
              <w:rPr>
                <w:rFonts w:ascii="Verdana" w:hAnsi="Verdana"/>
                <w:sz w:val="16"/>
                <w:szCs w:val="16"/>
              </w:rPr>
            </w:pPr>
            <w:r w:rsidRPr="008B086A">
              <w:rPr>
                <w:rFonts w:ascii="Verdana" w:hAnsi="Verdana"/>
                <w:sz w:val="16"/>
                <w:szCs w:val="16"/>
              </w:rPr>
              <w:t>18,5%</w:t>
            </w:r>
          </w:p>
        </w:tc>
      </w:tr>
      <w:tr w:rsidR="008B086A" w14:paraId="1FE869B3" w14:textId="77777777" w:rsidTr="00571037">
        <w:trPr>
          <w:trHeight w:val="468"/>
          <w:jc w:val="center"/>
        </w:trPr>
        <w:tc>
          <w:tcPr>
            <w:tcW w:w="2547" w:type="dxa"/>
            <w:tcBorders>
              <w:right w:val="nil"/>
            </w:tcBorders>
            <w:vAlign w:val="center"/>
          </w:tcPr>
          <w:p w14:paraId="68B38BC6" w14:textId="4AF8DCC9" w:rsidR="008B086A" w:rsidRDefault="00571037" w:rsidP="00571037">
            <w:pPr>
              <w:rPr>
                <w:rFonts w:ascii="Verdana" w:hAnsi="Verdana"/>
                <w:sz w:val="20"/>
                <w:szCs w:val="20"/>
              </w:rPr>
            </w:pPr>
            <w:r w:rsidRPr="00571037">
              <w:rPr>
                <w:rFonts w:ascii="Verdana" w:hAnsi="Verdana"/>
                <w:b/>
                <w:bCs/>
                <w:sz w:val="18"/>
                <w:szCs w:val="18"/>
              </w:rPr>
              <w:t>Montants par élève</w:t>
            </w:r>
          </w:p>
        </w:tc>
        <w:tc>
          <w:tcPr>
            <w:tcW w:w="1984" w:type="dxa"/>
            <w:tcBorders>
              <w:left w:val="nil"/>
              <w:right w:val="nil"/>
            </w:tcBorders>
            <w:vAlign w:val="center"/>
          </w:tcPr>
          <w:p w14:paraId="4B061BC5" w14:textId="77777777" w:rsidR="008B086A" w:rsidRDefault="008B086A" w:rsidP="008B086A">
            <w:pPr>
              <w:jc w:val="center"/>
              <w:rPr>
                <w:rFonts w:ascii="Verdana" w:hAnsi="Verdana"/>
                <w:sz w:val="20"/>
                <w:szCs w:val="20"/>
              </w:rPr>
            </w:pPr>
          </w:p>
        </w:tc>
        <w:tc>
          <w:tcPr>
            <w:tcW w:w="1848" w:type="dxa"/>
            <w:tcBorders>
              <w:left w:val="nil"/>
              <w:right w:val="nil"/>
            </w:tcBorders>
            <w:vAlign w:val="center"/>
          </w:tcPr>
          <w:p w14:paraId="44644389" w14:textId="77777777" w:rsidR="008B086A" w:rsidRDefault="008B086A" w:rsidP="008B086A">
            <w:pPr>
              <w:jc w:val="center"/>
              <w:rPr>
                <w:rFonts w:ascii="Verdana" w:hAnsi="Verdana"/>
                <w:sz w:val="20"/>
                <w:szCs w:val="20"/>
              </w:rPr>
            </w:pPr>
          </w:p>
        </w:tc>
        <w:tc>
          <w:tcPr>
            <w:tcW w:w="2127" w:type="dxa"/>
            <w:tcBorders>
              <w:left w:val="nil"/>
            </w:tcBorders>
            <w:vAlign w:val="center"/>
          </w:tcPr>
          <w:p w14:paraId="557FB8FB" w14:textId="77777777" w:rsidR="008B086A" w:rsidRDefault="008B086A" w:rsidP="008B086A">
            <w:pPr>
              <w:jc w:val="center"/>
              <w:rPr>
                <w:rFonts w:ascii="Verdana" w:hAnsi="Verdana"/>
                <w:sz w:val="20"/>
                <w:szCs w:val="20"/>
              </w:rPr>
            </w:pPr>
          </w:p>
        </w:tc>
      </w:tr>
      <w:tr w:rsidR="008B086A" w14:paraId="6BBE9053" w14:textId="77777777" w:rsidTr="00571037">
        <w:trPr>
          <w:trHeight w:val="390"/>
          <w:jc w:val="center"/>
        </w:trPr>
        <w:tc>
          <w:tcPr>
            <w:tcW w:w="2547" w:type="dxa"/>
            <w:vAlign w:val="center"/>
          </w:tcPr>
          <w:p w14:paraId="322BBCD0" w14:textId="204207F3" w:rsidR="008B086A" w:rsidRDefault="00571037" w:rsidP="008B086A">
            <w:pPr>
              <w:jc w:val="center"/>
              <w:rPr>
                <w:rFonts w:ascii="Verdana" w:hAnsi="Verdana"/>
                <w:sz w:val="20"/>
                <w:szCs w:val="20"/>
              </w:rPr>
            </w:pPr>
            <w:r w:rsidRPr="008B086A">
              <w:rPr>
                <w:rFonts w:ascii="Verdana" w:hAnsi="Verdana"/>
                <w:sz w:val="16"/>
                <w:szCs w:val="16"/>
              </w:rPr>
              <w:t>Nombre d’élèves</w:t>
            </w:r>
            <w:r>
              <w:rPr>
                <w:rFonts w:ascii="Verdana" w:hAnsi="Verdana"/>
                <w:sz w:val="16"/>
                <w:szCs w:val="16"/>
              </w:rPr>
              <w:t xml:space="preserve"> (en millier)</w:t>
            </w:r>
          </w:p>
        </w:tc>
        <w:tc>
          <w:tcPr>
            <w:tcW w:w="1984" w:type="dxa"/>
            <w:vAlign w:val="center"/>
          </w:tcPr>
          <w:p w14:paraId="52F747A9" w14:textId="7F6883C4" w:rsidR="008B086A" w:rsidRPr="00571037" w:rsidRDefault="00571037" w:rsidP="008B086A">
            <w:pPr>
              <w:jc w:val="center"/>
              <w:rPr>
                <w:rFonts w:ascii="Verdana" w:hAnsi="Verdana"/>
                <w:sz w:val="16"/>
                <w:szCs w:val="16"/>
              </w:rPr>
            </w:pPr>
            <w:r w:rsidRPr="00571037">
              <w:rPr>
                <w:rFonts w:ascii="Verdana" w:hAnsi="Verdana"/>
                <w:sz w:val="16"/>
                <w:szCs w:val="16"/>
              </w:rPr>
              <w:t>152,7</w:t>
            </w:r>
          </w:p>
        </w:tc>
        <w:tc>
          <w:tcPr>
            <w:tcW w:w="1848" w:type="dxa"/>
            <w:vAlign w:val="center"/>
          </w:tcPr>
          <w:p w14:paraId="7384FEE6" w14:textId="2D87D81D" w:rsidR="008B086A" w:rsidRPr="00571037" w:rsidRDefault="00571037" w:rsidP="008B086A">
            <w:pPr>
              <w:jc w:val="center"/>
              <w:rPr>
                <w:rFonts w:ascii="Verdana" w:hAnsi="Verdana"/>
                <w:sz w:val="16"/>
                <w:szCs w:val="16"/>
              </w:rPr>
            </w:pPr>
            <w:r w:rsidRPr="00571037">
              <w:rPr>
                <w:rFonts w:ascii="Verdana" w:hAnsi="Verdana"/>
                <w:sz w:val="16"/>
                <w:szCs w:val="16"/>
              </w:rPr>
              <w:t>345,1</w:t>
            </w:r>
          </w:p>
        </w:tc>
        <w:tc>
          <w:tcPr>
            <w:tcW w:w="2127" w:type="dxa"/>
            <w:vAlign w:val="center"/>
          </w:tcPr>
          <w:p w14:paraId="5033BBF5" w14:textId="1A98CE54" w:rsidR="008B086A" w:rsidRPr="00571037" w:rsidRDefault="00571037" w:rsidP="008B086A">
            <w:pPr>
              <w:jc w:val="center"/>
              <w:rPr>
                <w:rFonts w:ascii="Verdana" w:hAnsi="Verdana"/>
                <w:sz w:val="16"/>
                <w:szCs w:val="16"/>
              </w:rPr>
            </w:pPr>
            <w:r w:rsidRPr="00571037">
              <w:rPr>
                <w:rFonts w:ascii="Verdana" w:hAnsi="Verdana"/>
                <w:sz w:val="16"/>
                <w:szCs w:val="16"/>
              </w:rPr>
              <w:t>498,8</w:t>
            </w:r>
          </w:p>
        </w:tc>
      </w:tr>
      <w:tr w:rsidR="008B086A" w14:paraId="7DEACF89" w14:textId="77777777" w:rsidTr="008B086A">
        <w:trPr>
          <w:jc w:val="center"/>
        </w:trPr>
        <w:tc>
          <w:tcPr>
            <w:tcW w:w="2547" w:type="dxa"/>
            <w:vAlign w:val="center"/>
          </w:tcPr>
          <w:p w14:paraId="233D4A63" w14:textId="015B7509" w:rsidR="00571037" w:rsidRDefault="00571037" w:rsidP="00571037">
            <w:pPr>
              <w:rPr>
                <w:rFonts w:ascii="Verdana" w:hAnsi="Verdana"/>
                <w:sz w:val="16"/>
                <w:szCs w:val="16"/>
              </w:rPr>
            </w:pPr>
            <w:r w:rsidRPr="008B086A">
              <w:rPr>
                <w:rFonts w:ascii="Verdana" w:hAnsi="Verdana"/>
                <w:sz w:val="16"/>
                <w:szCs w:val="16"/>
              </w:rPr>
              <w:t>PPT en vigueur</w:t>
            </w:r>
            <w:r>
              <w:rPr>
                <w:rFonts w:ascii="Verdana" w:hAnsi="Verdana"/>
                <w:sz w:val="16"/>
                <w:szCs w:val="16"/>
              </w:rPr>
              <w:t xml:space="preserve"> </w:t>
            </w:r>
          </w:p>
          <w:p w14:paraId="08B3B6B1" w14:textId="3082C145" w:rsidR="008B086A" w:rsidRPr="00571037" w:rsidRDefault="00571037" w:rsidP="00571037">
            <w:pPr>
              <w:rPr>
                <w:rFonts w:ascii="Verdana" w:hAnsi="Verdana"/>
                <w:sz w:val="16"/>
                <w:szCs w:val="16"/>
              </w:rPr>
            </w:pPr>
            <w:r w:rsidRPr="008B086A">
              <w:rPr>
                <w:rFonts w:ascii="Verdana" w:hAnsi="Verdana"/>
                <w:sz w:val="16"/>
                <w:szCs w:val="16"/>
              </w:rPr>
              <w:t>depuis les années 1990</w:t>
            </w:r>
          </w:p>
        </w:tc>
        <w:tc>
          <w:tcPr>
            <w:tcW w:w="1984" w:type="dxa"/>
            <w:vAlign w:val="center"/>
          </w:tcPr>
          <w:p w14:paraId="71746590" w14:textId="2FC3F3D2" w:rsidR="008B086A" w:rsidRPr="00571037" w:rsidRDefault="00571037" w:rsidP="008B086A">
            <w:pPr>
              <w:jc w:val="center"/>
              <w:rPr>
                <w:rFonts w:ascii="Verdana" w:hAnsi="Verdana"/>
                <w:sz w:val="16"/>
                <w:szCs w:val="16"/>
              </w:rPr>
            </w:pPr>
            <w:r w:rsidRPr="00571037">
              <w:rPr>
                <w:rFonts w:ascii="Verdana" w:hAnsi="Verdana"/>
                <w:sz w:val="16"/>
                <w:szCs w:val="16"/>
              </w:rPr>
              <w:t>293</w:t>
            </w:r>
          </w:p>
        </w:tc>
        <w:tc>
          <w:tcPr>
            <w:tcW w:w="1848" w:type="dxa"/>
            <w:vAlign w:val="center"/>
          </w:tcPr>
          <w:p w14:paraId="1969272C" w14:textId="70065FA3" w:rsidR="008B086A" w:rsidRPr="00571037" w:rsidRDefault="00571037" w:rsidP="008B086A">
            <w:pPr>
              <w:jc w:val="center"/>
              <w:rPr>
                <w:rFonts w:ascii="Verdana" w:hAnsi="Verdana"/>
                <w:sz w:val="16"/>
                <w:szCs w:val="16"/>
              </w:rPr>
            </w:pPr>
            <w:r w:rsidRPr="00571037">
              <w:rPr>
                <w:rFonts w:ascii="Verdana" w:hAnsi="Verdana"/>
                <w:sz w:val="16"/>
                <w:szCs w:val="16"/>
              </w:rPr>
              <w:t>307</w:t>
            </w:r>
          </w:p>
        </w:tc>
        <w:tc>
          <w:tcPr>
            <w:tcW w:w="2127" w:type="dxa"/>
            <w:vAlign w:val="center"/>
          </w:tcPr>
          <w:p w14:paraId="72107F26" w14:textId="0743ECBD" w:rsidR="008B086A" w:rsidRPr="00571037" w:rsidRDefault="00571037" w:rsidP="008B086A">
            <w:pPr>
              <w:jc w:val="center"/>
              <w:rPr>
                <w:rFonts w:ascii="Verdana" w:hAnsi="Verdana"/>
                <w:sz w:val="16"/>
                <w:szCs w:val="16"/>
              </w:rPr>
            </w:pPr>
            <w:r w:rsidRPr="00571037">
              <w:rPr>
                <w:rFonts w:ascii="Verdana" w:hAnsi="Verdana"/>
                <w:sz w:val="16"/>
                <w:szCs w:val="16"/>
              </w:rPr>
              <w:t>299</w:t>
            </w:r>
          </w:p>
        </w:tc>
      </w:tr>
      <w:tr w:rsidR="008B086A" w14:paraId="18F18AA1" w14:textId="77777777" w:rsidTr="008B086A">
        <w:trPr>
          <w:jc w:val="center"/>
        </w:trPr>
        <w:tc>
          <w:tcPr>
            <w:tcW w:w="2547" w:type="dxa"/>
            <w:vAlign w:val="center"/>
          </w:tcPr>
          <w:p w14:paraId="3428A8FD" w14:textId="6466D6C2" w:rsidR="008B086A" w:rsidRDefault="00571037" w:rsidP="00571037">
            <w:pPr>
              <w:rPr>
                <w:rFonts w:ascii="Verdana" w:hAnsi="Verdana"/>
                <w:sz w:val="20"/>
                <w:szCs w:val="20"/>
              </w:rPr>
            </w:pPr>
            <w:r w:rsidRPr="008B086A">
              <w:rPr>
                <w:rFonts w:ascii="Verdana" w:hAnsi="Verdana"/>
                <w:sz w:val="16"/>
                <w:szCs w:val="16"/>
              </w:rPr>
              <w:t>Intention du</w:t>
            </w:r>
            <w:r>
              <w:rPr>
                <w:rFonts w:ascii="Verdana" w:hAnsi="Verdana"/>
                <w:sz w:val="16"/>
                <w:szCs w:val="16"/>
              </w:rPr>
              <w:t xml:space="preserve"> </w:t>
            </w:r>
            <w:r w:rsidRPr="008B086A">
              <w:rPr>
                <w:rFonts w:ascii="Verdana" w:hAnsi="Verdana"/>
                <w:sz w:val="16"/>
                <w:szCs w:val="16"/>
              </w:rPr>
              <w:t>gouvernement</w:t>
            </w:r>
            <w:r>
              <w:rPr>
                <w:rFonts w:ascii="Verdana" w:hAnsi="Verdana"/>
                <w:sz w:val="16"/>
                <w:szCs w:val="16"/>
              </w:rPr>
              <w:t xml:space="preserve"> (2021)</w:t>
            </w:r>
          </w:p>
        </w:tc>
        <w:tc>
          <w:tcPr>
            <w:tcW w:w="1984" w:type="dxa"/>
            <w:vAlign w:val="center"/>
          </w:tcPr>
          <w:p w14:paraId="16E7D33F" w14:textId="54176754" w:rsidR="008B086A" w:rsidRPr="00571037" w:rsidRDefault="00571037" w:rsidP="008B086A">
            <w:pPr>
              <w:jc w:val="center"/>
              <w:rPr>
                <w:rFonts w:ascii="Verdana" w:hAnsi="Verdana"/>
                <w:sz w:val="16"/>
                <w:szCs w:val="16"/>
              </w:rPr>
            </w:pPr>
            <w:r w:rsidRPr="00571037">
              <w:rPr>
                <w:rFonts w:ascii="Verdana" w:hAnsi="Verdana"/>
                <w:sz w:val="16"/>
                <w:szCs w:val="16"/>
              </w:rPr>
              <w:t>1150</w:t>
            </w:r>
          </w:p>
        </w:tc>
        <w:tc>
          <w:tcPr>
            <w:tcW w:w="1848" w:type="dxa"/>
            <w:vAlign w:val="center"/>
          </w:tcPr>
          <w:p w14:paraId="569FC97D" w14:textId="6FEAF5A6" w:rsidR="008B086A" w:rsidRPr="00571037" w:rsidRDefault="00571037" w:rsidP="008B086A">
            <w:pPr>
              <w:jc w:val="center"/>
              <w:rPr>
                <w:rFonts w:ascii="Verdana" w:hAnsi="Verdana"/>
                <w:sz w:val="16"/>
                <w:szCs w:val="16"/>
              </w:rPr>
            </w:pPr>
            <w:r w:rsidRPr="00571037">
              <w:rPr>
                <w:rFonts w:ascii="Verdana" w:hAnsi="Verdana"/>
                <w:sz w:val="16"/>
                <w:szCs w:val="16"/>
              </w:rPr>
              <w:t>199</w:t>
            </w:r>
          </w:p>
        </w:tc>
        <w:tc>
          <w:tcPr>
            <w:tcW w:w="2127" w:type="dxa"/>
            <w:vAlign w:val="center"/>
          </w:tcPr>
          <w:p w14:paraId="4B01A3B1" w14:textId="3E2E18A8" w:rsidR="008B086A" w:rsidRPr="00571037" w:rsidRDefault="00571037" w:rsidP="008B086A">
            <w:pPr>
              <w:jc w:val="center"/>
              <w:rPr>
                <w:rFonts w:ascii="Verdana" w:hAnsi="Verdana"/>
                <w:sz w:val="16"/>
                <w:szCs w:val="16"/>
              </w:rPr>
            </w:pPr>
            <w:r w:rsidRPr="00571037">
              <w:rPr>
                <w:rFonts w:ascii="Verdana" w:hAnsi="Verdana"/>
                <w:sz w:val="16"/>
                <w:szCs w:val="16"/>
              </w:rPr>
              <w:t>111</w:t>
            </w:r>
          </w:p>
        </w:tc>
      </w:tr>
    </w:tbl>
    <w:p w14:paraId="756285BC" w14:textId="77777777" w:rsidR="008B086A" w:rsidRDefault="008B086A" w:rsidP="00AC4380">
      <w:pPr>
        <w:rPr>
          <w:rFonts w:ascii="Verdana" w:hAnsi="Verdana"/>
          <w:sz w:val="20"/>
          <w:szCs w:val="20"/>
        </w:rPr>
      </w:pPr>
    </w:p>
    <w:p w14:paraId="49010C9B" w14:textId="74684D4A" w:rsidR="00AC4380" w:rsidRPr="00D3300D" w:rsidRDefault="00CF36D7" w:rsidP="00AC4380">
      <w:pPr>
        <w:rPr>
          <w:rFonts w:ascii="Verdana" w:hAnsi="Verdana"/>
          <w:sz w:val="20"/>
          <w:szCs w:val="20"/>
        </w:rPr>
      </w:pPr>
      <w:r w:rsidRPr="00D3300D">
        <w:rPr>
          <w:rFonts w:ascii="Verdana" w:hAnsi="Verdana"/>
          <w:sz w:val="20"/>
          <w:szCs w:val="20"/>
        </w:rPr>
        <w:t>Pour l’enseignement subventionn</w:t>
      </w:r>
      <w:r w:rsidR="008F2E13" w:rsidRPr="00D3300D">
        <w:rPr>
          <w:rFonts w:ascii="Verdana" w:hAnsi="Verdana"/>
          <w:sz w:val="20"/>
          <w:szCs w:val="20"/>
        </w:rPr>
        <w:t>é</w:t>
      </w:r>
      <w:r w:rsidRPr="00D3300D">
        <w:rPr>
          <w:rFonts w:ascii="Verdana" w:hAnsi="Verdana"/>
          <w:sz w:val="20"/>
          <w:szCs w:val="20"/>
        </w:rPr>
        <w:t xml:space="preserve">, </w:t>
      </w:r>
      <w:r w:rsidRPr="0046602B">
        <w:rPr>
          <w:rFonts w:ascii="Verdana" w:hAnsi="Verdana"/>
          <w:b/>
          <w:i/>
          <w:sz w:val="20"/>
          <w:szCs w:val="20"/>
        </w:rPr>
        <w:t>qu’il soit organisé par les communes, les provinces ou les associations de l’enseignement libre</w:t>
      </w:r>
      <w:r w:rsidRPr="00D3300D">
        <w:rPr>
          <w:rFonts w:ascii="Verdana" w:hAnsi="Verdana"/>
          <w:sz w:val="20"/>
          <w:szCs w:val="20"/>
        </w:rPr>
        <w:t xml:space="preserve">, </w:t>
      </w:r>
      <w:r w:rsidR="00273775" w:rsidRPr="00D3300D">
        <w:rPr>
          <w:rFonts w:ascii="Verdana" w:hAnsi="Verdana"/>
          <w:sz w:val="20"/>
          <w:szCs w:val="20"/>
        </w:rPr>
        <w:t xml:space="preserve">confessionnelles ou non, </w:t>
      </w:r>
      <w:r w:rsidRPr="00D3300D">
        <w:rPr>
          <w:rFonts w:ascii="Verdana" w:hAnsi="Verdana"/>
          <w:sz w:val="20"/>
          <w:szCs w:val="20"/>
        </w:rPr>
        <w:t xml:space="preserve">cette </w:t>
      </w:r>
      <w:r w:rsidRPr="0046602B">
        <w:rPr>
          <w:rFonts w:ascii="Verdana" w:hAnsi="Verdana"/>
          <w:b/>
          <w:i/>
          <w:sz w:val="20"/>
          <w:szCs w:val="20"/>
        </w:rPr>
        <w:t>décision</w:t>
      </w:r>
      <w:r w:rsidRPr="00D3300D">
        <w:rPr>
          <w:rFonts w:ascii="Verdana" w:hAnsi="Verdana"/>
          <w:sz w:val="20"/>
          <w:szCs w:val="20"/>
        </w:rPr>
        <w:t xml:space="preserve"> en matière de bâtiments scolaires</w:t>
      </w:r>
      <w:r w:rsidR="004A61DD" w:rsidRPr="00D3300D">
        <w:rPr>
          <w:rFonts w:ascii="Verdana" w:hAnsi="Verdana"/>
          <w:sz w:val="20"/>
          <w:szCs w:val="20"/>
        </w:rPr>
        <w:t xml:space="preserve"> est</w:t>
      </w:r>
      <w:r w:rsidRPr="00D3300D">
        <w:rPr>
          <w:rFonts w:ascii="Verdana" w:hAnsi="Verdana"/>
          <w:sz w:val="20"/>
          <w:szCs w:val="20"/>
        </w:rPr>
        <w:t xml:space="preserve"> </w:t>
      </w:r>
      <w:r w:rsidRPr="0046602B">
        <w:rPr>
          <w:rFonts w:ascii="Verdana" w:hAnsi="Verdana"/>
          <w:b/>
          <w:i/>
          <w:sz w:val="20"/>
          <w:szCs w:val="20"/>
        </w:rPr>
        <w:t>la plus défavorable</w:t>
      </w:r>
      <w:r w:rsidRPr="00D3300D">
        <w:rPr>
          <w:rFonts w:ascii="Verdana" w:hAnsi="Verdana"/>
          <w:sz w:val="20"/>
          <w:szCs w:val="20"/>
        </w:rPr>
        <w:t xml:space="preserve"> </w:t>
      </w:r>
      <w:r w:rsidRPr="007F1C28">
        <w:rPr>
          <w:rFonts w:ascii="Verdana" w:hAnsi="Verdana"/>
          <w:b/>
          <w:i/>
          <w:sz w:val="20"/>
          <w:szCs w:val="20"/>
        </w:rPr>
        <w:t>depuis plus de trente ans</w:t>
      </w:r>
      <w:r w:rsidR="00D901B2" w:rsidRPr="00D3300D">
        <w:rPr>
          <w:rFonts w:ascii="Verdana" w:hAnsi="Verdana"/>
          <w:sz w:val="20"/>
          <w:szCs w:val="20"/>
        </w:rPr>
        <w:t xml:space="preserve"> et s’écarte pour des raisons incompréhensibles de la</w:t>
      </w:r>
      <w:r w:rsidR="00BD50EF" w:rsidRPr="00D3300D">
        <w:rPr>
          <w:rFonts w:ascii="Verdana" w:hAnsi="Verdana"/>
          <w:sz w:val="20"/>
          <w:szCs w:val="20"/>
        </w:rPr>
        <w:t xml:space="preserve"> clé de répartition en vigueur depuis les années 1990 pour </w:t>
      </w:r>
      <w:r w:rsidR="003E64F2" w:rsidRPr="00D3300D">
        <w:rPr>
          <w:rFonts w:ascii="Verdana" w:hAnsi="Verdana"/>
          <w:sz w:val="20"/>
          <w:szCs w:val="20"/>
        </w:rPr>
        <w:t>ce type de travaux</w:t>
      </w:r>
      <w:r w:rsidR="00BD50EF" w:rsidRPr="00D3300D">
        <w:rPr>
          <w:rFonts w:ascii="Verdana" w:hAnsi="Verdana"/>
          <w:sz w:val="20"/>
          <w:szCs w:val="20"/>
        </w:rPr>
        <w:t>.</w:t>
      </w:r>
    </w:p>
    <w:p w14:paraId="00B53DFA" w14:textId="583C01EA" w:rsidR="008F2E13" w:rsidRPr="00D3300D" w:rsidRDefault="00A9368A" w:rsidP="00AC4380">
      <w:pPr>
        <w:rPr>
          <w:rFonts w:ascii="Verdana" w:hAnsi="Verdana"/>
          <w:sz w:val="20"/>
          <w:szCs w:val="20"/>
        </w:rPr>
      </w:pPr>
      <w:r w:rsidRPr="00D3300D">
        <w:rPr>
          <w:rFonts w:ascii="Verdana" w:hAnsi="Verdana"/>
          <w:sz w:val="20"/>
          <w:szCs w:val="20"/>
        </w:rPr>
        <w:t xml:space="preserve">La Constitution dispose en son article 24 que </w:t>
      </w:r>
      <w:r w:rsidRPr="00D3300D">
        <w:rPr>
          <w:rFonts w:ascii="Verdana" w:hAnsi="Verdana"/>
          <w:i/>
          <w:iCs/>
          <w:sz w:val="20"/>
          <w:szCs w:val="20"/>
        </w:rPr>
        <w:t xml:space="preserve">« Tous les élèves ou étudiants, parents, membres du personnel et établissements d’enseignement sont égaux devant la loi ou le décret ». </w:t>
      </w:r>
      <w:r w:rsidRPr="00D3300D">
        <w:rPr>
          <w:rFonts w:ascii="Verdana" w:hAnsi="Verdana"/>
          <w:sz w:val="20"/>
          <w:szCs w:val="20"/>
        </w:rPr>
        <w:t>Ce</w:t>
      </w:r>
      <w:r w:rsidR="008F2E13" w:rsidRPr="00D3300D">
        <w:rPr>
          <w:rFonts w:ascii="Verdana" w:hAnsi="Verdana"/>
          <w:sz w:val="20"/>
          <w:szCs w:val="20"/>
        </w:rPr>
        <w:t xml:space="preserve"> pri</w:t>
      </w:r>
      <w:bookmarkStart w:id="1" w:name="_GoBack"/>
      <w:bookmarkEnd w:id="1"/>
      <w:r w:rsidR="008F2E13" w:rsidRPr="00D3300D">
        <w:rPr>
          <w:rFonts w:ascii="Verdana" w:hAnsi="Verdana"/>
          <w:sz w:val="20"/>
          <w:szCs w:val="20"/>
        </w:rPr>
        <w:t xml:space="preserve">ncipe fondateur de la paix scolaire en Belgique </w:t>
      </w:r>
      <w:r w:rsidRPr="00D3300D">
        <w:rPr>
          <w:rFonts w:ascii="Verdana" w:hAnsi="Verdana"/>
          <w:sz w:val="20"/>
          <w:szCs w:val="20"/>
        </w:rPr>
        <w:t>n</w:t>
      </w:r>
      <w:r w:rsidR="001043CB" w:rsidRPr="00D3300D">
        <w:rPr>
          <w:rFonts w:ascii="Verdana" w:hAnsi="Verdana"/>
          <w:sz w:val="20"/>
          <w:szCs w:val="20"/>
        </w:rPr>
        <w:t>’est</w:t>
      </w:r>
      <w:r w:rsidR="005B2F8E" w:rsidRPr="00D3300D">
        <w:rPr>
          <w:rFonts w:ascii="Verdana" w:hAnsi="Verdana"/>
          <w:sz w:val="20"/>
          <w:szCs w:val="20"/>
        </w:rPr>
        <w:t>,</w:t>
      </w:r>
      <w:r w:rsidRPr="00D3300D">
        <w:rPr>
          <w:rFonts w:ascii="Verdana" w:hAnsi="Verdana"/>
          <w:sz w:val="20"/>
          <w:szCs w:val="20"/>
        </w:rPr>
        <w:t xml:space="preserve"> en l’espèce, manifestement </w:t>
      </w:r>
      <w:r w:rsidR="005B2F8E" w:rsidRPr="00D3300D">
        <w:rPr>
          <w:rFonts w:ascii="Verdana" w:hAnsi="Verdana"/>
          <w:sz w:val="20"/>
          <w:szCs w:val="20"/>
        </w:rPr>
        <w:t xml:space="preserve">plus </w:t>
      </w:r>
      <w:r w:rsidRPr="00D3300D">
        <w:rPr>
          <w:rFonts w:ascii="Verdana" w:hAnsi="Verdana"/>
          <w:sz w:val="20"/>
          <w:szCs w:val="20"/>
        </w:rPr>
        <w:t>du tout respecté</w:t>
      </w:r>
      <w:r w:rsidR="008F2E13" w:rsidRPr="00D3300D">
        <w:rPr>
          <w:rFonts w:ascii="Verdana" w:hAnsi="Verdana"/>
          <w:sz w:val="20"/>
          <w:szCs w:val="20"/>
        </w:rPr>
        <w:t>.</w:t>
      </w:r>
      <w:r w:rsidRPr="00D3300D">
        <w:rPr>
          <w:rFonts w:ascii="Verdana" w:hAnsi="Verdana"/>
          <w:sz w:val="20"/>
          <w:szCs w:val="20"/>
        </w:rPr>
        <w:t xml:space="preserve"> </w:t>
      </w:r>
    </w:p>
    <w:p w14:paraId="55ECCEC9" w14:textId="0E8304F9" w:rsidR="00762603" w:rsidRPr="00D3300D" w:rsidRDefault="008F2E13" w:rsidP="00AC4380">
      <w:pPr>
        <w:rPr>
          <w:rFonts w:ascii="Verdana" w:hAnsi="Verdana"/>
          <w:sz w:val="20"/>
          <w:szCs w:val="20"/>
        </w:rPr>
      </w:pPr>
      <w:r w:rsidRPr="00D3300D">
        <w:rPr>
          <w:rFonts w:ascii="Verdana" w:hAnsi="Verdana"/>
          <w:sz w:val="20"/>
          <w:szCs w:val="20"/>
        </w:rPr>
        <w:t>L</w:t>
      </w:r>
      <w:r w:rsidR="00A9368A" w:rsidRPr="00D3300D">
        <w:rPr>
          <w:rFonts w:ascii="Verdana" w:hAnsi="Verdana"/>
          <w:sz w:val="20"/>
          <w:szCs w:val="20"/>
        </w:rPr>
        <w:t xml:space="preserve">a qualité publique ou privée du propriétaire premier des bâtiments </w:t>
      </w:r>
      <w:r w:rsidR="00B80CEF" w:rsidRPr="00D3300D">
        <w:rPr>
          <w:rFonts w:ascii="Verdana" w:hAnsi="Verdana"/>
          <w:sz w:val="20"/>
          <w:szCs w:val="20"/>
        </w:rPr>
        <w:t>justifierai</w:t>
      </w:r>
      <w:r w:rsidR="00A9368A" w:rsidRPr="00D3300D">
        <w:rPr>
          <w:rFonts w:ascii="Verdana" w:hAnsi="Verdana"/>
          <w:sz w:val="20"/>
          <w:szCs w:val="20"/>
        </w:rPr>
        <w:t>t</w:t>
      </w:r>
      <w:r w:rsidRPr="00D3300D">
        <w:rPr>
          <w:rFonts w:ascii="Verdana" w:hAnsi="Verdana"/>
          <w:sz w:val="20"/>
          <w:szCs w:val="20"/>
        </w:rPr>
        <w:t>-elle</w:t>
      </w:r>
      <w:r w:rsidR="00A9368A" w:rsidRPr="00D3300D">
        <w:rPr>
          <w:rFonts w:ascii="Verdana" w:hAnsi="Verdana"/>
          <w:sz w:val="20"/>
          <w:szCs w:val="20"/>
        </w:rPr>
        <w:t xml:space="preserve"> une telle différence de traitement</w:t>
      </w:r>
      <w:r w:rsidRPr="00D3300D">
        <w:rPr>
          <w:rFonts w:ascii="Verdana" w:hAnsi="Verdana"/>
          <w:sz w:val="20"/>
          <w:szCs w:val="20"/>
        </w:rPr>
        <w:t xml:space="preserve"> ? Assurément pas. </w:t>
      </w:r>
      <w:r w:rsidR="00A9368A" w:rsidRPr="00240EE9">
        <w:rPr>
          <w:rFonts w:ascii="Verdana" w:hAnsi="Verdana"/>
          <w:b/>
          <w:i/>
          <w:sz w:val="20"/>
          <w:szCs w:val="20"/>
        </w:rPr>
        <w:t>Toutes les écoles</w:t>
      </w:r>
      <w:r w:rsidR="00A9368A" w:rsidRPr="00D3300D">
        <w:rPr>
          <w:rFonts w:ascii="Verdana" w:hAnsi="Verdana"/>
          <w:sz w:val="20"/>
          <w:szCs w:val="20"/>
        </w:rPr>
        <w:t xml:space="preserve">, officielles ou libres, ou suivant la formule de la Cour constitutionnelle, </w:t>
      </w:r>
      <w:r w:rsidRPr="00D3300D">
        <w:rPr>
          <w:rFonts w:ascii="Verdana" w:hAnsi="Verdana"/>
          <w:sz w:val="20"/>
          <w:szCs w:val="20"/>
        </w:rPr>
        <w:t xml:space="preserve">celles </w:t>
      </w:r>
      <w:r w:rsidR="00A9368A" w:rsidRPr="00D3300D">
        <w:rPr>
          <w:rFonts w:ascii="Verdana" w:hAnsi="Verdana"/>
          <w:sz w:val="20"/>
          <w:szCs w:val="20"/>
        </w:rPr>
        <w:t xml:space="preserve">du service public « organique » </w:t>
      </w:r>
      <w:r w:rsidRPr="00D3300D">
        <w:rPr>
          <w:rFonts w:ascii="Verdana" w:hAnsi="Verdana"/>
          <w:sz w:val="20"/>
          <w:szCs w:val="20"/>
        </w:rPr>
        <w:t xml:space="preserve">comme du service public </w:t>
      </w:r>
      <w:r w:rsidR="00A9368A" w:rsidRPr="00D3300D">
        <w:rPr>
          <w:rFonts w:ascii="Verdana" w:hAnsi="Verdana"/>
          <w:sz w:val="20"/>
          <w:szCs w:val="20"/>
        </w:rPr>
        <w:t>« fonctionnel »</w:t>
      </w:r>
      <w:r w:rsidR="00B37551" w:rsidRPr="00D3300D">
        <w:rPr>
          <w:rFonts w:ascii="Verdana" w:hAnsi="Verdana"/>
          <w:sz w:val="20"/>
          <w:szCs w:val="20"/>
        </w:rPr>
        <w:t>,</w:t>
      </w:r>
      <w:r w:rsidRPr="00D3300D">
        <w:rPr>
          <w:rFonts w:ascii="Verdana" w:hAnsi="Verdana"/>
          <w:sz w:val="20"/>
          <w:szCs w:val="20"/>
        </w:rPr>
        <w:t xml:space="preserve"> </w:t>
      </w:r>
      <w:r w:rsidR="00A9368A" w:rsidRPr="00D3300D">
        <w:rPr>
          <w:rFonts w:ascii="Verdana" w:hAnsi="Verdana"/>
          <w:sz w:val="20"/>
          <w:szCs w:val="20"/>
        </w:rPr>
        <w:t xml:space="preserve">sont en effet </w:t>
      </w:r>
      <w:r w:rsidR="00A9368A" w:rsidRPr="00240EE9">
        <w:rPr>
          <w:rFonts w:ascii="Verdana" w:hAnsi="Verdana"/>
          <w:b/>
          <w:i/>
          <w:sz w:val="20"/>
          <w:szCs w:val="20"/>
        </w:rPr>
        <w:t>soumises</w:t>
      </w:r>
      <w:r w:rsidRPr="00240EE9">
        <w:rPr>
          <w:rFonts w:ascii="Verdana" w:hAnsi="Verdana"/>
          <w:b/>
          <w:i/>
          <w:sz w:val="20"/>
          <w:szCs w:val="20"/>
        </w:rPr>
        <w:t xml:space="preserve"> </w:t>
      </w:r>
      <w:r w:rsidRPr="00D3300D">
        <w:rPr>
          <w:rFonts w:ascii="Verdana" w:hAnsi="Verdana"/>
          <w:sz w:val="20"/>
          <w:szCs w:val="20"/>
        </w:rPr>
        <w:t xml:space="preserve">pour l’essentiel </w:t>
      </w:r>
      <w:r w:rsidR="00A9368A" w:rsidRPr="00D3300D">
        <w:rPr>
          <w:rFonts w:ascii="Verdana" w:hAnsi="Verdana"/>
          <w:sz w:val="20"/>
          <w:szCs w:val="20"/>
        </w:rPr>
        <w:t>aux</w:t>
      </w:r>
      <w:r w:rsidR="007C385D" w:rsidRPr="00D3300D">
        <w:rPr>
          <w:rFonts w:ascii="Verdana" w:hAnsi="Verdana"/>
          <w:sz w:val="20"/>
          <w:szCs w:val="20"/>
        </w:rPr>
        <w:t xml:space="preserve"> </w:t>
      </w:r>
      <w:r w:rsidRPr="00240EE9">
        <w:rPr>
          <w:rFonts w:ascii="Verdana" w:hAnsi="Verdana"/>
          <w:b/>
          <w:i/>
          <w:sz w:val="20"/>
          <w:szCs w:val="20"/>
        </w:rPr>
        <w:t>même</w:t>
      </w:r>
      <w:r w:rsidR="007C385D" w:rsidRPr="00240EE9">
        <w:rPr>
          <w:rFonts w:ascii="Verdana" w:hAnsi="Verdana"/>
          <w:b/>
          <w:i/>
          <w:sz w:val="20"/>
          <w:szCs w:val="20"/>
        </w:rPr>
        <w:t>s</w:t>
      </w:r>
      <w:r w:rsidRPr="00240EE9">
        <w:rPr>
          <w:rFonts w:ascii="Verdana" w:hAnsi="Verdana"/>
          <w:b/>
          <w:i/>
          <w:sz w:val="20"/>
          <w:szCs w:val="20"/>
        </w:rPr>
        <w:t xml:space="preserve"> exigences</w:t>
      </w:r>
      <w:r w:rsidRPr="00D3300D">
        <w:rPr>
          <w:rFonts w:ascii="Verdana" w:hAnsi="Verdana"/>
          <w:sz w:val="20"/>
          <w:szCs w:val="20"/>
        </w:rPr>
        <w:t xml:space="preserve"> : </w:t>
      </w:r>
      <w:r w:rsidR="00D32BD1" w:rsidRPr="00D3300D">
        <w:rPr>
          <w:rFonts w:ascii="Verdana" w:hAnsi="Verdana"/>
          <w:sz w:val="20"/>
          <w:szCs w:val="20"/>
        </w:rPr>
        <w:t xml:space="preserve">obligation d’accueillir tous les publics, de </w:t>
      </w:r>
      <w:r w:rsidRPr="00D3300D">
        <w:rPr>
          <w:rFonts w:ascii="Verdana" w:hAnsi="Verdana"/>
          <w:sz w:val="20"/>
          <w:szCs w:val="20"/>
        </w:rPr>
        <w:t>respect</w:t>
      </w:r>
      <w:r w:rsidR="00D32BD1" w:rsidRPr="00D3300D">
        <w:rPr>
          <w:rFonts w:ascii="Verdana" w:hAnsi="Verdana"/>
          <w:sz w:val="20"/>
          <w:szCs w:val="20"/>
        </w:rPr>
        <w:t xml:space="preserve">er </w:t>
      </w:r>
      <w:r w:rsidRPr="00D3300D">
        <w:rPr>
          <w:rFonts w:ascii="Verdana" w:hAnsi="Verdana"/>
          <w:sz w:val="20"/>
          <w:szCs w:val="20"/>
        </w:rPr>
        <w:t xml:space="preserve">la très </w:t>
      </w:r>
      <w:r w:rsidR="00762603" w:rsidRPr="00D3300D">
        <w:rPr>
          <w:rFonts w:ascii="Verdana" w:hAnsi="Verdana"/>
          <w:sz w:val="20"/>
          <w:szCs w:val="20"/>
        </w:rPr>
        <w:t>contraignante</w:t>
      </w:r>
      <w:r w:rsidRPr="00D3300D">
        <w:rPr>
          <w:rFonts w:ascii="Verdana" w:hAnsi="Verdana"/>
          <w:sz w:val="20"/>
          <w:szCs w:val="20"/>
        </w:rPr>
        <w:t xml:space="preserve"> législation en matière d’enseignement</w:t>
      </w:r>
      <w:r w:rsidR="00520AFC" w:rsidRPr="00D3300D">
        <w:rPr>
          <w:rFonts w:ascii="Verdana" w:hAnsi="Verdana"/>
          <w:sz w:val="20"/>
          <w:szCs w:val="20"/>
        </w:rPr>
        <w:t xml:space="preserve"> et de marchés publics</w:t>
      </w:r>
      <w:r w:rsidRPr="00D3300D">
        <w:rPr>
          <w:rFonts w:ascii="Verdana" w:hAnsi="Verdana"/>
          <w:sz w:val="20"/>
          <w:szCs w:val="20"/>
        </w:rPr>
        <w:t xml:space="preserve">, </w:t>
      </w:r>
      <w:r w:rsidR="00D32BD1" w:rsidRPr="00D3300D">
        <w:rPr>
          <w:rFonts w:ascii="Verdana" w:hAnsi="Verdana"/>
          <w:sz w:val="20"/>
          <w:szCs w:val="20"/>
        </w:rPr>
        <w:t xml:space="preserve">les mêmes </w:t>
      </w:r>
      <w:r w:rsidRPr="00D3300D">
        <w:rPr>
          <w:rFonts w:ascii="Verdana" w:hAnsi="Verdana"/>
          <w:sz w:val="20"/>
          <w:szCs w:val="20"/>
        </w:rPr>
        <w:t xml:space="preserve">exigences de gratuité et, demain, </w:t>
      </w:r>
      <w:r w:rsidR="00D32BD1" w:rsidRPr="00D3300D">
        <w:rPr>
          <w:rFonts w:ascii="Verdana" w:hAnsi="Verdana"/>
          <w:sz w:val="20"/>
          <w:szCs w:val="20"/>
        </w:rPr>
        <w:t xml:space="preserve">les mêmes </w:t>
      </w:r>
      <w:r w:rsidR="00520AFC" w:rsidRPr="00D3300D">
        <w:rPr>
          <w:rFonts w:ascii="Verdana" w:hAnsi="Verdana"/>
          <w:sz w:val="20"/>
          <w:szCs w:val="20"/>
        </w:rPr>
        <w:t xml:space="preserve">normes </w:t>
      </w:r>
      <w:r w:rsidRPr="00D3300D">
        <w:rPr>
          <w:rFonts w:ascii="Verdana" w:hAnsi="Verdana"/>
          <w:sz w:val="20"/>
          <w:szCs w:val="20"/>
        </w:rPr>
        <w:t xml:space="preserve">de mise en conformité énergétique des bâtiments. </w:t>
      </w:r>
    </w:p>
    <w:p w14:paraId="0FF79EC8" w14:textId="483BD57F" w:rsidR="008F2E13" w:rsidRPr="00D3300D" w:rsidRDefault="0089439F" w:rsidP="00AC4380">
      <w:pPr>
        <w:rPr>
          <w:rFonts w:ascii="Verdana" w:hAnsi="Verdana"/>
          <w:sz w:val="20"/>
          <w:szCs w:val="20"/>
        </w:rPr>
      </w:pPr>
      <w:r w:rsidRPr="00D3300D">
        <w:rPr>
          <w:rFonts w:ascii="Verdana" w:hAnsi="Verdana"/>
          <w:sz w:val="20"/>
          <w:szCs w:val="20"/>
        </w:rPr>
        <w:t>Des formules existent déjà par aill</w:t>
      </w:r>
      <w:r w:rsidR="00AF0404" w:rsidRPr="00D3300D">
        <w:rPr>
          <w:rFonts w:ascii="Verdana" w:hAnsi="Verdana"/>
          <w:sz w:val="20"/>
          <w:szCs w:val="20"/>
        </w:rPr>
        <w:t xml:space="preserve">eurs pour assurer à long terme la destination scolaire des investissements </w:t>
      </w:r>
      <w:r w:rsidR="00CF62C9" w:rsidRPr="00D3300D">
        <w:rPr>
          <w:rFonts w:ascii="Verdana" w:hAnsi="Verdana"/>
          <w:sz w:val="20"/>
          <w:szCs w:val="20"/>
        </w:rPr>
        <w:t>financés</w:t>
      </w:r>
      <w:r w:rsidR="00E074B9" w:rsidRPr="00D3300D">
        <w:rPr>
          <w:rFonts w:ascii="Verdana" w:hAnsi="Verdana"/>
          <w:sz w:val="20"/>
          <w:szCs w:val="20"/>
        </w:rPr>
        <w:t xml:space="preserve"> par l’autorité </w:t>
      </w:r>
      <w:r w:rsidR="003D5386" w:rsidRPr="00D3300D">
        <w:rPr>
          <w:rFonts w:ascii="Verdana" w:hAnsi="Verdana"/>
          <w:sz w:val="20"/>
          <w:szCs w:val="20"/>
        </w:rPr>
        <w:t>publique au sein de l’enseignement libre</w:t>
      </w:r>
      <w:r w:rsidR="008C3EBC" w:rsidRPr="00D3300D">
        <w:rPr>
          <w:rFonts w:ascii="Verdana" w:hAnsi="Verdana"/>
          <w:sz w:val="20"/>
          <w:szCs w:val="20"/>
        </w:rPr>
        <w:t>.</w:t>
      </w:r>
      <w:r w:rsidR="00865D16" w:rsidRPr="00D3300D">
        <w:rPr>
          <w:rFonts w:ascii="Verdana" w:hAnsi="Verdana"/>
          <w:sz w:val="20"/>
          <w:szCs w:val="20"/>
        </w:rPr>
        <w:t xml:space="preserve"> De nouvelles dispositions en la matière, inspirées </w:t>
      </w:r>
      <w:r w:rsidR="00953828" w:rsidRPr="00D3300D">
        <w:rPr>
          <w:rFonts w:ascii="Verdana" w:hAnsi="Verdana"/>
          <w:sz w:val="20"/>
          <w:szCs w:val="20"/>
        </w:rPr>
        <w:t xml:space="preserve">par le droit comptable, pourraient également trouver à s’appliquer dans l’enseignement comme dans </w:t>
      </w:r>
      <w:r w:rsidR="00103A1B" w:rsidRPr="00D3300D">
        <w:rPr>
          <w:rFonts w:ascii="Verdana" w:hAnsi="Verdana"/>
          <w:sz w:val="20"/>
          <w:szCs w:val="20"/>
        </w:rPr>
        <w:t>d’autres secteurs d’activité</w:t>
      </w:r>
      <w:r w:rsidR="001F17A8" w:rsidRPr="00D3300D">
        <w:rPr>
          <w:rFonts w:ascii="Verdana" w:hAnsi="Verdana"/>
          <w:sz w:val="20"/>
          <w:szCs w:val="20"/>
        </w:rPr>
        <w:t xml:space="preserve"> </w:t>
      </w:r>
      <w:r w:rsidR="006903DC" w:rsidRPr="00D3300D">
        <w:rPr>
          <w:rFonts w:ascii="Verdana" w:hAnsi="Verdana"/>
          <w:sz w:val="20"/>
          <w:szCs w:val="20"/>
        </w:rPr>
        <w:t xml:space="preserve">tel </w:t>
      </w:r>
      <w:r w:rsidR="004A6128" w:rsidRPr="00D3300D">
        <w:rPr>
          <w:rFonts w:ascii="Verdana" w:hAnsi="Verdana"/>
          <w:sz w:val="20"/>
          <w:szCs w:val="20"/>
        </w:rPr>
        <w:t xml:space="preserve">celui </w:t>
      </w:r>
      <w:r w:rsidR="006903DC" w:rsidRPr="00D3300D">
        <w:rPr>
          <w:rFonts w:ascii="Verdana" w:hAnsi="Verdana"/>
          <w:sz w:val="20"/>
          <w:szCs w:val="20"/>
        </w:rPr>
        <w:t>de la santé</w:t>
      </w:r>
      <w:r w:rsidR="004D71E2" w:rsidRPr="00D3300D">
        <w:rPr>
          <w:rFonts w:ascii="Verdana" w:hAnsi="Verdana"/>
          <w:sz w:val="20"/>
          <w:szCs w:val="20"/>
        </w:rPr>
        <w:t xml:space="preserve"> </w:t>
      </w:r>
      <w:r w:rsidR="001F17A8" w:rsidRPr="00D3300D">
        <w:rPr>
          <w:rFonts w:ascii="Verdana" w:hAnsi="Verdana"/>
          <w:sz w:val="20"/>
          <w:szCs w:val="20"/>
        </w:rPr>
        <w:t xml:space="preserve">et suivant la même inspiration : garantir </w:t>
      </w:r>
      <w:r w:rsidR="00D86287" w:rsidRPr="00D3300D">
        <w:rPr>
          <w:rFonts w:ascii="Verdana" w:hAnsi="Verdana"/>
          <w:sz w:val="20"/>
          <w:szCs w:val="20"/>
        </w:rPr>
        <w:t>l’affectation scolaire du patrimoine pendant toute la durée d’amortissement des investissements.</w:t>
      </w:r>
    </w:p>
    <w:p w14:paraId="00C722D6" w14:textId="77777777" w:rsidR="00ED23A7" w:rsidRDefault="00F14D24" w:rsidP="00AC4380">
      <w:pPr>
        <w:rPr>
          <w:rFonts w:ascii="Verdana" w:hAnsi="Verdana"/>
          <w:sz w:val="20"/>
          <w:szCs w:val="20"/>
        </w:rPr>
      </w:pPr>
      <w:r w:rsidRPr="008A5AE5">
        <w:rPr>
          <w:rFonts w:ascii="Verdana" w:hAnsi="Verdana"/>
          <w:b/>
          <w:i/>
          <w:sz w:val="20"/>
          <w:szCs w:val="20"/>
        </w:rPr>
        <w:t>L’heure est à l’urgence</w:t>
      </w:r>
      <w:r w:rsidRPr="00D3300D">
        <w:rPr>
          <w:rFonts w:ascii="Verdana" w:hAnsi="Verdana"/>
          <w:sz w:val="20"/>
          <w:szCs w:val="20"/>
        </w:rPr>
        <w:t xml:space="preserve">. Celle du défi </w:t>
      </w:r>
      <w:r w:rsidR="00736CD8" w:rsidRPr="00D3300D">
        <w:rPr>
          <w:rFonts w:ascii="Verdana" w:hAnsi="Verdana"/>
          <w:sz w:val="20"/>
          <w:szCs w:val="20"/>
        </w:rPr>
        <w:t xml:space="preserve">de la transition </w:t>
      </w:r>
      <w:r w:rsidRPr="00D3300D">
        <w:rPr>
          <w:rFonts w:ascii="Verdana" w:hAnsi="Verdana"/>
          <w:sz w:val="20"/>
          <w:szCs w:val="20"/>
        </w:rPr>
        <w:t xml:space="preserve">énergétique et climatique </w:t>
      </w:r>
      <w:r w:rsidR="00256B32" w:rsidRPr="00D3300D">
        <w:rPr>
          <w:rFonts w:ascii="Verdana" w:hAnsi="Verdana"/>
          <w:sz w:val="20"/>
          <w:szCs w:val="20"/>
        </w:rPr>
        <w:t xml:space="preserve">comme </w:t>
      </w:r>
      <w:r w:rsidRPr="00D3300D">
        <w:rPr>
          <w:rFonts w:ascii="Verdana" w:hAnsi="Verdana"/>
          <w:sz w:val="20"/>
          <w:szCs w:val="20"/>
        </w:rPr>
        <w:t>celle du plan de relance post-</w:t>
      </w:r>
      <w:proofErr w:type="spellStart"/>
      <w:r w:rsidR="00736CD8" w:rsidRPr="00D3300D">
        <w:rPr>
          <w:rFonts w:ascii="Verdana" w:hAnsi="Verdana"/>
          <w:sz w:val="20"/>
          <w:szCs w:val="20"/>
        </w:rPr>
        <w:t>C</w:t>
      </w:r>
      <w:r w:rsidRPr="00D3300D">
        <w:rPr>
          <w:rFonts w:ascii="Verdana" w:hAnsi="Verdana"/>
          <w:sz w:val="20"/>
          <w:szCs w:val="20"/>
        </w:rPr>
        <w:t>ovid</w:t>
      </w:r>
      <w:proofErr w:type="spellEnd"/>
      <w:r w:rsidRPr="00D3300D">
        <w:rPr>
          <w:rFonts w:ascii="Verdana" w:hAnsi="Verdana"/>
          <w:sz w:val="20"/>
          <w:szCs w:val="20"/>
        </w:rPr>
        <w:t xml:space="preserve"> de l’Union européenne. </w:t>
      </w:r>
      <w:r w:rsidR="00E205F0" w:rsidRPr="00D3300D">
        <w:rPr>
          <w:rFonts w:ascii="Verdana" w:hAnsi="Verdana"/>
          <w:sz w:val="20"/>
          <w:szCs w:val="20"/>
        </w:rPr>
        <w:t>Contrairement à ce qui a pu être annoncé, l</w:t>
      </w:r>
      <w:r w:rsidRPr="00D3300D">
        <w:rPr>
          <w:rFonts w:ascii="Verdana" w:hAnsi="Verdana"/>
          <w:sz w:val="20"/>
          <w:szCs w:val="20"/>
        </w:rPr>
        <w:t xml:space="preserve">es projets sont prêts dans l’enseignement libre comme ailleurs. Actuellement, </w:t>
      </w:r>
      <w:r w:rsidRPr="00611D98">
        <w:rPr>
          <w:rFonts w:ascii="Verdana" w:hAnsi="Verdana"/>
          <w:b/>
          <w:i/>
          <w:sz w:val="20"/>
          <w:szCs w:val="20"/>
        </w:rPr>
        <w:t>524 projets sont en attente dans l’enseignement catholique</w:t>
      </w:r>
      <w:r w:rsidRPr="00D3300D">
        <w:rPr>
          <w:rFonts w:ascii="Verdana" w:hAnsi="Verdana"/>
          <w:sz w:val="20"/>
          <w:szCs w:val="20"/>
        </w:rPr>
        <w:t xml:space="preserve"> pour un montant de 265 millions d’euros de travaux à réaliser. 75% de ces projets présentent une composante d’amélioration de l’efficacité énergétique et la part de cette composante énergétique dans les projets concernés est de 72%.</w:t>
      </w:r>
      <w:r w:rsidR="00D10F44" w:rsidRPr="00D3300D">
        <w:rPr>
          <w:rFonts w:ascii="Verdana" w:hAnsi="Verdana"/>
          <w:sz w:val="20"/>
          <w:szCs w:val="20"/>
        </w:rPr>
        <w:t xml:space="preserve"> </w:t>
      </w:r>
    </w:p>
    <w:p w14:paraId="1BAEF83E" w14:textId="7538028F" w:rsidR="00F14D24" w:rsidRPr="00D3300D" w:rsidRDefault="00D10F44" w:rsidP="00AC4380">
      <w:pPr>
        <w:rPr>
          <w:rFonts w:ascii="Verdana" w:hAnsi="Verdana"/>
          <w:sz w:val="20"/>
          <w:szCs w:val="20"/>
        </w:rPr>
      </w:pPr>
      <w:r w:rsidRPr="00D3300D">
        <w:rPr>
          <w:rFonts w:ascii="Verdana" w:hAnsi="Verdana"/>
          <w:sz w:val="20"/>
          <w:szCs w:val="20"/>
        </w:rPr>
        <w:t xml:space="preserve">Plusieurs de ces projets </w:t>
      </w:r>
      <w:r w:rsidR="00390008" w:rsidRPr="00D3300D">
        <w:rPr>
          <w:rFonts w:ascii="Verdana" w:hAnsi="Verdana"/>
          <w:sz w:val="20"/>
          <w:szCs w:val="20"/>
        </w:rPr>
        <w:t>concernent vraisemblablement des</w:t>
      </w:r>
      <w:r w:rsidR="00CB1A6D" w:rsidRPr="00D3300D">
        <w:rPr>
          <w:rFonts w:ascii="Verdana" w:hAnsi="Verdana"/>
          <w:sz w:val="20"/>
          <w:szCs w:val="20"/>
        </w:rPr>
        <w:t xml:space="preserve"> </w:t>
      </w:r>
      <w:r w:rsidR="00390008" w:rsidRPr="00D3300D">
        <w:rPr>
          <w:rFonts w:ascii="Verdana" w:hAnsi="Verdana"/>
          <w:sz w:val="20"/>
          <w:szCs w:val="20"/>
        </w:rPr>
        <w:t xml:space="preserve">établissements scolaires situés dans votre région. </w:t>
      </w:r>
      <w:r w:rsidR="00F14D24" w:rsidRPr="00D3300D">
        <w:rPr>
          <w:rFonts w:ascii="Verdana" w:hAnsi="Verdana"/>
          <w:sz w:val="20"/>
          <w:szCs w:val="20"/>
        </w:rPr>
        <w:t xml:space="preserve"> Les délais </w:t>
      </w:r>
      <w:r w:rsidR="000C6D03" w:rsidRPr="00D3300D">
        <w:rPr>
          <w:rFonts w:ascii="Verdana" w:hAnsi="Verdana"/>
          <w:sz w:val="20"/>
          <w:szCs w:val="20"/>
        </w:rPr>
        <w:t xml:space="preserve">annoncés par le Ministre </w:t>
      </w:r>
      <w:r w:rsidR="00FA4A92" w:rsidRPr="00D3300D">
        <w:rPr>
          <w:rFonts w:ascii="Verdana" w:hAnsi="Verdana"/>
          <w:sz w:val="20"/>
          <w:szCs w:val="20"/>
        </w:rPr>
        <w:t xml:space="preserve">en charge des bâtiments </w:t>
      </w:r>
      <w:r w:rsidR="00FA4A92" w:rsidRPr="00D3300D">
        <w:rPr>
          <w:rFonts w:ascii="Verdana" w:hAnsi="Verdana"/>
          <w:sz w:val="20"/>
          <w:szCs w:val="20"/>
        </w:rPr>
        <w:lastRenderedPageBreak/>
        <w:t xml:space="preserve">scolaires en FWB (Frédéric </w:t>
      </w:r>
      <w:r w:rsidR="00ED23A7" w:rsidRPr="00D3300D">
        <w:rPr>
          <w:rFonts w:ascii="Verdana" w:hAnsi="Verdana"/>
          <w:sz w:val="20"/>
          <w:szCs w:val="20"/>
        </w:rPr>
        <w:t>DAERDEN</w:t>
      </w:r>
      <w:r w:rsidR="00FA4A92" w:rsidRPr="00D3300D">
        <w:rPr>
          <w:rFonts w:ascii="Verdana" w:hAnsi="Verdana"/>
          <w:sz w:val="20"/>
          <w:szCs w:val="20"/>
        </w:rPr>
        <w:t xml:space="preserve">, PS) </w:t>
      </w:r>
      <w:r w:rsidR="000C6D03" w:rsidRPr="00D3300D">
        <w:rPr>
          <w:rFonts w:ascii="Verdana" w:hAnsi="Verdana"/>
          <w:sz w:val="20"/>
          <w:szCs w:val="20"/>
        </w:rPr>
        <w:t>sont serrés mais pourront être respectés : 2023 pour l’approbation des budgets par le gouvernement</w:t>
      </w:r>
      <w:r w:rsidR="00776318" w:rsidRPr="00D3300D">
        <w:rPr>
          <w:rFonts w:ascii="Verdana" w:hAnsi="Verdana"/>
          <w:sz w:val="20"/>
          <w:szCs w:val="20"/>
        </w:rPr>
        <w:t xml:space="preserve"> et</w:t>
      </w:r>
      <w:r w:rsidR="000C6D03" w:rsidRPr="00D3300D">
        <w:rPr>
          <w:rFonts w:ascii="Verdana" w:hAnsi="Verdana"/>
          <w:sz w:val="20"/>
          <w:szCs w:val="20"/>
        </w:rPr>
        <w:t xml:space="preserve"> 2026 pour la réalisation des travaux. Il n’y a toutefois pas de temps à perdre en vaines palabres et en conflits d’une autre époque. </w:t>
      </w:r>
      <w:r w:rsidR="000F2272" w:rsidRPr="00D3300D">
        <w:rPr>
          <w:rFonts w:ascii="Verdana" w:hAnsi="Verdana"/>
          <w:sz w:val="20"/>
          <w:szCs w:val="20"/>
        </w:rPr>
        <w:t>L</w:t>
      </w:r>
      <w:r w:rsidR="00CD2AA5" w:rsidRPr="00D3300D">
        <w:rPr>
          <w:rFonts w:ascii="Verdana" w:hAnsi="Verdana"/>
          <w:sz w:val="20"/>
          <w:szCs w:val="20"/>
        </w:rPr>
        <w:t>e</w:t>
      </w:r>
      <w:r w:rsidR="000C6D03" w:rsidRPr="00D3300D">
        <w:rPr>
          <w:rFonts w:ascii="Verdana" w:hAnsi="Verdana"/>
          <w:sz w:val="20"/>
          <w:szCs w:val="20"/>
        </w:rPr>
        <w:t xml:space="preserve">s synergies souhaitables entre établissements </w:t>
      </w:r>
      <w:r w:rsidR="00CD2AA5" w:rsidRPr="00D3300D">
        <w:rPr>
          <w:rFonts w:ascii="Verdana" w:hAnsi="Verdana"/>
          <w:sz w:val="20"/>
          <w:szCs w:val="20"/>
        </w:rPr>
        <w:t xml:space="preserve">tout comme </w:t>
      </w:r>
      <w:r w:rsidR="000C6D03" w:rsidRPr="00D3300D">
        <w:rPr>
          <w:rFonts w:ascii="Verdana" w:hAnsi="Verdana"/>
          <w:sz w:val="20"/>
          <w:szCs w:val="20"/>
        </w:rPr>
        <w:t>le partage de certaines infrastructures pourront se concevoir utilement au plan local.</w:t>
      </w:r>
    </w:p>
    <w:p w14:paraId="79B88494" w14:textId="2B94CC57" w:rsidR="000C6D03" w:rsidRPr="00D3300D" w:rsidRDefault="005E3632" w:rsidP="00AC4380">
      <w:pPr>
        <w:rPr>
          <w:rFonts w:ascii="Verdana" w:hAnsi="Verdana"/>
          <w:b/>
          <w:bCs/>
          <w:sz w:val="20"/>
          <w:szCs w:val="20"/>
        </w:rPr>
      </w:pPr>
      <w:r w:rsidRPr="00D3300D">
        <w:rPr>
          <w:rFonts w:ascii="Verdana" w:hAnsi="Verdana"/>
          <w:b/>
          <w:bCs/>
          <w:sz w:val="20"/>
          <w:szCs w:val="20"/>
        </w:rPr>
        <w:t xml:space="preserve">Incompréhension totale face au déséquilibre </w:t>
      </w:r>
      <w:r w:rsidR="003154F4" w:rsidRPr="00D3300D">
        <w:rPr>
          <w:rFonts w:ascii="Verdana" w:hAnsi="Verdana"/>
          <w:b/>
          <w:bCs/>
          <w:sz w:val="20"/>
          <w:szCs w:val="20"/>
        </w:rPr>
        <w:t>du financement entre les réseaux d’enseignement</w:t>
      </w:r>
    </w:p>
    <w:p w14:paraId="40BD9E1F" w14:textId="4567D07F" w:rsidR="00F700B2" w:rsidRPr="00D3300D" w:rsidRDefault="005E1891" w:rsidP="00AC4380">
      <w:pPr>
        <w:rPr>
          <w:rFonts w:ascii="Verdana" w:hAnsi="Verdana"/>
          <w:sz w:val="20"/>
          <w:szCs w:val="20"/>
        </w:rPr>
      </w:pPr>
      <w:r w:rsidRPr="00D3300D">
        <w:rPr>
          <w:rFonts w:ascii="Verdana" w:hAnsi="Verdana"/>
          <w:sz w:val="20"/>
          <w:szCs w:val="20"/>
        </w:rPr>
        <w:t xml:space="preserve">A côté des bâtiments scolaires, l’équilibre dans le financement des établissements dépend aussi des </w:t>
      </w:r>
      <w:r w:rsidR="00E0279D" w:rsidRPr="00D3300D">
        <w:rPr>
          <w:rFonts w:ascii="Verdana" w:hAnsi="Verdana"/>
          <w:sz w:val="20"/>
          <w:szCs w:val="20"/>
        </w:rPr>
        <w:t xml:space="preserve">moyens </w:t>
      </w:r>
      <w:r w:rsidRPr="00D3300D">
        <w:rPr>
          <w:rFonts w:ascii="Verdana" w:hAnsi="Verdana"/>
          <w:sz w:val="20"/>
          <w:szCs w:val="20"/>
        </w:rPr>
        <w:t>de fonctionnement</w:t>
      </w:r>
      <w:r w:rsidR="00E0279D" w:rsidRPr="00D3300D">
        <w:rPr>
          <w:rFonts w:ascii="Verdana" w:hAnsi="Verdana"/>
          <w:sz w:val="20"/>
          <w:szCs w:val="20"/>
        </w:rPr>
        <w:t xml:space="preserve"> dont ils disposent</w:t>
      </w:r>
      <w:r w:rsidRPr="00D3300D">
        <w:rPr>
          <w:rFonts w:ascii="Verdana" w:hAnsi="Verdana"/>
          <w:sz w:val="20"/>
          <w:szCs w:val="20"/>
        </w:rPr>
        <w:t>. Le tableau ci-dessous synthétise l’état de la question dans un comparatif entre la Flandre et la Fédération Wallonie-Bruxelles, et ce pour les différents niveaux et réseaux d’enseignement.</w:t>
      </w:r>
    </w:p>
    <w:tbl>
      <w:tblPr>
        <w:tblStyle w:val="Grilledutableau"/>
        <w:tblpPr w:leftFromText="141" w:rightFromText="141" w:vertAnchor="text" w:horzAnchor="margin" w:tblpXSpec="center" w:tblpY="111"/>
        <w:tblW w:w="10060" w:type="dxa"/>
        <w:tblLayout w:type="fixed"/>
        <w:tblLook w:val="04A0" w:firstRow="1" w:lastRow="0" w:firstColumn="1" w:lastColumn="0" w:noHBand="0" w:noVBand="1"/>
      </w:tblPr>
      <w:tblGrid>
        <w:gridCol w:w="1107"/>
        <w:gridCol w:w="927"/>
        <w:gridCol w:w="1790"/>
        <w:gridCol w:w="1929"/>
        <w:gridCol w:w="694"/>
        <w:gridCol w:w="1942"/>
        <w:gridCol w:w="1671"/>
      </w:tblGrid>
      <w:tr w:rsidR="00A77F6D" w14:paraId="42FF4881" w14:textId="77777777" w:rsidTr="00F700B2">
        <w:trPr>
          <w:trHeight w:val="561"/>
        </w:trPr>
        <w:tc>
          <w:tcPr>
            <w:tcW w:w="10060" w:type="dxa"/>
            <w:gridSpan w:val="7"/>
            <w:vAlign w:val="center"/>
          </w:tcPr>
          <w:p w14:paraId="49F12402" w14:textId="77777777" w:rsidR="00A77F6D" w:rsidRPr="00A77F6D" w:rsidRDefault="00A77F6D" w:rsidP="00F700B2">
            <w:pPr>
              <w:jc w:val="center"/>
              <w:rPr>
                <w:rFonts w:ascii="Verdana" w:hAnsi="Verdana"/>
                <w:b/>
                <w:bCs/>
                <w:sz w:val="16"/>
                <w:szCs w:val="16"/>
              </w:rPr>
            </w:pPr>
            <w:r w:rsidRPr="00A77F6D">
              <w:rPr>
                <w:rFonts w:ascii="Verdana" w:hAnsi="Verdana"/>
                <w:b/>
                <w:bCs/>
                <w:sz w:val="16"/>
                <w:szCs w:val="16"/>
              </w:rPr>
              <w:t>Comparaison Flandre/Wallonie-Bruxelles des dotations et subventions par élève</w:t>
            </w:r>
          </w:p>
        </w:tc>
      </w:tr>
      <w:tr w:rsidR="00A77F6D" w14:paraId="06BFF0B7" w14:textId="77777777" w:rsidTr="00F700B2">
        <w:trPr>
          <w:trHeight w:val="264"/>
        </w:trPr>
        <w:tc>
          <w:tcPr>
            <w:tcW w:w="1107" w:type="dxa"/>
            <w:vAlign w:val="center"/>
          </w:tcPr>
          <w:p w14:paraId="568D464B" w14:textId="77777777" w:rsidR="00A77F6D" w:rsidRPr="00A77F6D" w:rsidRDefault="00A77F6D" w:rsidP="00A77F6D">
            <w:pPr>
              <w:jc w:val="center"/>
              <w:rPr>
                <w:rFonts w:ascii="Verdana" w:hAnsi="Verdana"/>
                <w:sz w:val="16"/>
                <w:szCs w:val="16"/>
              </w:rPr>
            </w:pPr>
          </w:p>
        </w:tc>
        <w:tc>
          <w:tcPr>
            <w:tcW w:w="4646" w:type="dxa"/>
            <w:gridSpan w:val="3"/>
            <w:vAlign w:val="center"/>
          </w:tcPr>
          <w:p w14:paraId="04CE8564" w14:textId="77777777" w:rsidR="00A77F6D" w:rsidRDefault="00A77F6D" w:rsidP="00A77F6D">
            <w:pPr>
              <w:jc w:val="center"/>
              <w:rPr>
                <w:rFonts w:ascii="Verdana" w:hAnsi="Verdana"/>
                <w:b/>
                <w:bCs/>
                <w:sz w:val="16"/>
                <w:szCs w:val="16"/>
              </w:rPr>
            </w:pPr>
            <w:r w:rsidRPr="00571037">
              <w:rPr>
                <w:rFonts w:ascii="Verdana" w:hAnsi="Verdana"/>
                <w:b/>
                <w:bCs/>
                <w:sz w:val="16"/>
                <w:szCs w:val="16"/>
              </w:rPr>
              <w:t xml:space="preserve">Wallonie-Bruxelles Enseignement </w:t>
            </w:r>
          </w:p>
        </w:tc>
        <w:tc>
          <w:tcPr>
            <w:tcW w:w="4307" w:type="dxa"/>
            <w:gridSpan w:val="3"/>
            <w:vAlign w:val="center"/>
          </w:tcPr>
          <w:p w14:paraId="01DFEE27" w14:textId="77777777" w:rsidR="00A77F6D" w:rsidRPr="00A77F6D" w:rsidRDefault="00A77F6D" w:rsidP="00A77F6D">
            <w:pPr>
              <w:jc w:val="center"/>
              <w:rPr>
                <w:rFonts w:ascii="Verdana" w:hAnsi="Verdana"/>
                <w:sz w:val="16"/>
                <w:szCs w:val="16"/>
              </w:rPr>
            </w:pPr>
            <w:r>
              <w:rPr>
                <w:rFonts w:ascii="Verdana" w:hAnsi="Verdana"/>
                <w:b/>
                <w:bCs/>
                <w:sz w:val="16"/>
                <w:szCs w:val="16"/>
              </w:rPr>
              <w:t>Communauté flamande</w:t>
            </w:r>
          </w:p>
        </w:tc>
      </w:tr>
      <w:tr w:rsidR="00A77F6D" w14:paraId="111CC8F1" w14:textId="77777777" w:rsidTr="00F700B2">
        <w:trPr>
          <w:trHeight w:val="559"/>
        </w:trPr>
        <w:tc>
          <w:tcPr>
            <w:tcW w:w="1107" w:type="dxa"/>
            <w:vAlign w:val="center"/>
          </w:tcPr>
          <w:p w14:paraId="0C8245D9" w14:textId="77777777" w:rsidR="00A77F6D" w:rsidRPr="00A77F6D" w:rsidRDefault="00A77F6D" w:rsidP="007368D5">
            <w:pPr>
              <w:jc w:val="center"/>
              <w:rPr>
                <w:rFonts w:ascii="Verdana" w:hAnsi="Verdana"/>
                <w:sz w:val="16"/>
                <w:szCs w:val="16"/>
              </w:rPr>
            </w:pPr>
          </w:p>
        </w:tc>
        <w:tc>
          <w:tcPr>
            <w:tcW w:w="927" w:type="dxa"/>
            <w:vAlign w:val="center"/>
          </w:tcPr>
          <w:p w14:paraId="7CBE4420" w14:textId="77777777" w:rsidR="00A77F6D" w:rsidRPr="00A77F6D" w:rsidRDefault="00A77F6D" w:rsidP="007368D5">
            <w:pPr>
              <w:jc w:val="center"/>
              <w:rPr>
                <w:rFonts w:ascii="Verdana" w:hAnsi="Verdana"/>
                <w:sz w:val="14"/>
                <w:szCs w:val="14"/>
              </w:rPr>
            </w:pPr>
            <w:r w:rsidRPr="00A77F6D">
              <w:rPr>
                <w:rFonts w:ascii="Verdana" w:hAnsi="Verdana"/>
                <w:sz w:val="14"/>
                <w:szCs w:val="14"/>
              </w:rPr>
              <w:t>WBE</w:t>
            </w:r>
          </w:p>
        </w:tc>
        <w:tc>
          <w:tcPr>
            <w:tcW w:w="1790" w:type="dxa"/>
            <w:vAlign w:val="center"/>
          </w:tcPr>
          <w:p w14:paraId="2A487A50" w14:textId="77777777" w:rsidR="00A77F6D" w:rsidRPr="00A77F6D" w:rsidRDefault="00A77F6D" w:rsidP="007368D5">
            <w:pPr>
              <w:jc w:val="center"/>
              <w:rPr>
                <w:rFonts w:ascii="Verdana" w:hAnsi="Verdana"/>
                <w:sz w:val="14"/>
                <w:szCs w:val="14"/>
              </w:rPr>
            </w:pPr>
            <w:r w:rsidRPr="00A77F6D">
              <w:rPr>
                <w:rFonts w:ascii="Verdana" w:hAnsi="Verdana"/>
                <w:sz w:val="14"/>
                <w:szCs w:val="14"/>
              </w:rPr>
              <w:t>Communes, provinces et COCOF</w:t>
            </w:r>
          </w:p>
        </w:tc>
        <w:tc>
          <w:tcPr>
            <w:tcW w:w="1929" w:type="dxa"/>
            <w:vAlign w:val="center"/>
          </w:tcPr>
          <w:p w14:paraId="39891738" w14:textId="090A6145" w:rsidR="00A77F6D" w:rsidRPr="00A77F6D" w:rsidRDefault="00A77F6D" w:rsidP="007368D5">
            <w:pPr>
              <w:jc w:val="center"/>
              <w:rPr>
                <w:rFonts w:ascii="Verdana" w:hAnsi="Verdana"/>
                <w:sz w:val="14"/>
                <w:szCs w:val="14"/>
              </w:rPr>
            </w:pPr>
            <w:r w:rsidRPr="00A77F6D">
              <w:rPr>
                <w:rFonts w:ascii="Verdana" w:hAnsi="Verdana"/>
                <w:sz w:val="14"/>
                <w:szCs w:val="14"/>
              </w:rPr>
              <w:t>Libre confessionnel</w:t>
            </w:r>
          </w:p>
          <w:p w14:paraId="5B4C961C" w14:textId="77777777" w:rsidR="00A77F6D" w:rsidRPr="00A77F6D" w:rsidRDefault="00A77F6D" w:rsidP="007368D5">
            <w:pPr>
              <w:jc w:val="center"/>
              <w:rPr>
                <w:rFonts w:ascii="Verdana" w:hAnsi="Verdana"/>
                <w:sz w:val="14"/>
                <w:szCs w:val="14"/>
              </w:rPr>
            </w:pPr>
            <w:r w:rsidRPr="00A77F6D">
              <w:rPr>
                <w:rFonts w:ascii="Verdana" w:hAnsi="Verdana"/>
                <w:sz w:val="14"/>
                <w:szCs w:val="14"/>
              </w:rPr>
              <w:t>et non confessionnel</w:t>
            </w:r>
          </w:p>
        </w:tc>
        <w:tc>
          <w:tcPr>
            <w:tcW w:w="694" w:type="dxa"/>
            <w:vAlign w:val="center"/>
          </w:tcPr>
          <w:p w14:paraId="2427970D" w14:textId="77777777" w:rsidR="00A77F6D" w:rsidRPr="00A77F6D" w:rsidRDefault="00A77F6D" w:rsidP="007368D5">
            <w:pPr>
              <w:jc w:val="center"/>
              <w:rPr>
                <w:rFonts w:ascii="Verdana" w:hAnsi="Verdana"/>
                <w:sz w:val="14"/>
                <w:szCs w:val="14"/>
                <w:lang w:val="fr-FR"/>
              </w:rPr>
            </w:pPr>
            <w:r w:rsidRPr="00A77F6D">
              <w:rPr>
                <w:rFonts w:ascii="Verdana" w:hAnsi="Verdana"/>
                <w:sz w:val="14"/>
                <w:szCs w:val="14"/>
              </w:rPr>
              <w:t>Go </w:t>
            </w:r>
            <w:r w:rsidRPr="00A77F6D">
              <w:rPr>
                <w:rFonts w:ascii="Verdana" w:hAnsi="Verdana"/>
                <w:sz w:val="14"/>
                <w:szCs w:val="14"/>
                <w:lang w:val="fr-FR"/>
              </w:rPr>
              <w:t>!</w:t>
            </w:r>
          </w:p>
        </w:tc>
        <w:tc>
          <w:tcPr>
            <w:tcW w:w="1942" w:type="dxa"/>
            <w:vAlign w:val="center"/>
          </w:tcPr>
          <w:p w14:paraId="1DDA9043" w14:textId="77777777" w:rsidR="00A77F6D" w:rsidRPr="00A77F6D" w:rsidRDefault="00A77F6D" w:rsidP="007368D5">
            <w:pPr>
              <w:jc w:val="center"/>
              <w:rPr>
                <w:rFonts w:ascii="Verdana" w:hAnsi="Verdana"/>
                <w:sz w:val="14"/>
                <w:szCs w:val="14"/>
              </w:rPr>
            </w:pPr>
            <w:r w:rsidRPr="00A77F6D">
              <w:rPr>
                <w:rFonts w:ascii="Verdana" w:hAnsi="Verdana"/>
                <w:sz w:val="14"/>
                <w:szCs w:val="14"/>
              </w:rPr>
              <w:t>Communes et provinces</w:t>
            </w:r>
          </w:p>
        </w:tc>
        <w:tc>
          <w:tcPr>
            <w:tcW w:w="1671" w:type="dxa"/>
            <w:vAlign w:val="center"/>
          </w:tcPr>
          <w:p w14:paraId="413FF472" w14:textId="6E423F99" w:rsidR="00A77F6D" w:rsidRPr="00A77F6D" w:rsidRDefault="00A77F6D" w:rsidP="007368D5">
            <w:pPr>
              <w:jc w:val="center"/>
              <w:rPr>
                <w:rFonts w:ascii="Verdana" w:hAnsi="Verdana"/>
                <w:sz w:val="14"/>
                <w:szCs w:val="14"/>
              </w:rPr>
            </w:pPr>
            <w:r w:rsidRPr="00A77F6D">
              <w:rPr>
                <w:rFonts w:ascii="Verdana" w:hAnsi="Verdana"/>
                <w:sz w:val="14"/>
                <w:szCs w:val="14"/>
              </w:rPr>
              <w:t>Libre confessionnel</w:t>
            </w:r>
          </w:p>
          <w:p w14:paraId="64DD1934" w14:textId="4D9192E1" w:rsidR="00A77F6D" w:rsidRPr="00A77F6D" w:rsidRDefault="00A77F6D" w:rsidP="007368D5">
            <w:pPr>
              <w:jc w:val="center"/>
              <w:rPr>
                <w:rFonts w:ascii="Verdana" w:hAnsi="Verdana"/>
                <w:sz w:val="14"/>
                <w:szCs w:val="14"/>
              </w:rPr>
            </w:pPr>
            <w:r w:rsidRPr="00A77F6D">
              <w:rPr>
                <w:rFonts w:ascii="Verdana" w:hAnsi="Verdana"/>
                <w:sz w:val="14"/>
                <w:szCs w:val="14"/>
              </w:rPr>
              <w:t>et non confessionnel</w:t>
            </w:r>
          </w:p>
        </w:tc>
      </w:tr>
      <w:tr w:rsidR="00A77F6D" w14:paraId="767E93FC" w14:textId="77777777" w:rsidTr="00F700B2">
        <w:trPr>
          <w:trHeight w:val="269"/>
        </w:trPr>
        <w:tc>
          <w:tcPr>
            <w:tcW w:w="10060" w:type="dxa"/>
            <w:gridSpan w:val="7"/>
            <w:vAlign w:val="center"/>
          </w:tcPr>
          <w:p w14:paraId="748A3E22" w14:textId="3B244B9C" w:rsidR="00A77F6D" w:rsidRPr="00A77F6D" w:rsidRDefault="00A77F6D" w:rsidP="00F700B2">
            <w:pPr>
              <w:rPr>
                <w:rFonts w:ascii="Verdana" w:hAnsi="Verdana"/>
                <w:b/>
                <w:bCs/>
                <w:sz w:val="16"/>
                <w:szCs w:val="16"/>
              </w:rPr>
            </w:pPr>
            <w:r w:rsidRPr="00A77F6D">
              <w:rPr>
                <w:rFonts w:ascii="Verdana" w:hAnsi="Verdana"/>
                <w:b/>
                <w:bCs/>
                <w:sz w:val="16"/>
                <w:szCs w:val="16"/>
              </w:rPr>
              <w:t>En pourcentage de WBE/GO</w:t>
            </w:r>
          </w:p>
        </w:tc>
      </w:tr>
      <w:tr w:rsidR="00A77F6D" w14:paraId="0FE0775E" w14:textId="77777777" w:rsidTr="007368D5">
        <w:trPr>
          <w:trHeight w:val="415"/>
        </w:trPr>
        <w:tc>
          <w:tcPr>
            <w:tcW w:w="1107" w:type="dxa"/>
            <w:vAlign w:val="center"/>
          </w:tcPr>
          <w:p w14:paraId="710031A4" w14:textId="3405A486" w:rsidR="00A77F6D" w:rsidRPr="00A77F6D" w:rsidRDefault="00F700B2" w:rsidP="00A77F6D">
            <w:pPr>
              <w:rPr>
                <w:rFonts w:ascii="Verdana" w:hAnsi="Verdana"/>
                <w:sz w:val="16"/>
                <w:szCs w:val="16"/>
              </w:rPr>
            </w:pPr>
            <w:r>
              <w:rPr>
                <w:rFonts w:ascii="Verdana" w:hAnsi="Verdana"/>
                <w:sz w:val="16"/>
                <w:szCs w:val="16"/>
              </w:rPr>
              <w:t>M</w:t>
            </w:r>
            <w:r w:rsidR="00A77F6D">
              <w:rPr>
                <w:rFonts w:ascii="Verdana" w:hAnsi="Verdana"/>
                <w:sz w:val="16"/>
                <w:szCs w:val="16"/>
              </w:rPr>
              <w:t>aternelle</w:t>
            </w:r>
          </w:p>
        </w:tc>
        <w:tc>
          <w:tcPr>
            <w:tcW w:w="927" w:type="dxa"/>
            <w:vAlign w:val="center"/>
          </w:tcPr>
          <w:p w14:paraId="2F7D4D9A" w14:textId="1AB43FB8" w:rsidR="00A77F6D" w:rsidRPr="00A77F6D" w:rsidRDefault="00F700B2" w:rsidP="00F700B2">
            <w:pPr>
              <w:jc w:val="center"/>
              <w:rPr>
                <w:rFonts w:ascii="Verdana" w:hAnsi="Verdana"/>
                <w:sz w:val="16"/>
                <w:szCs w:val="16"/>
              </w:rPr>
            </w:pPr>
            <w:r>
              <w:rPr>
                <w:rFonts w:ascii="Verdana" w:hAnsi="Verdana"/>
                <w:sz w:val="16"/>
                <w:szCs w:val="16"/>
              </w:rPr>
              <w:t>100%</w:t>
            </w:r>
          </w:p>
        </w:tc>
        <w:tc>
          <w:tcPr>
            <w:tcW w:w="1790" w:type="dxa"/>
            <w:vAlign w:val="center"/>
          </w:tcPr>
          <w:p w14:paraId="7516CB82" w14:textId="67CB6D11" w:rsidR="00A77F6D" w:rsidRPr="00A77F6D" w:rsidRDefault="00F700B2" w:rsidP="00F700B2">
            <w:pPr>
              <w:jc w:val="center"/>
              <w:rPr>
                <w:rFonts w:ascii="Verdana" w:hAnsi="Verdana"/>
                <w:sz w:val="16"/>
                <w:szCs w:val="16"/>
              </w:rPr>
            </w:pPr>
            <w:r>
              <w:rPr>
                <w:rFonts w:ascii="Verdana" w:hAnsi="Verdana"/>
                <w:sz w:val="16"/>
                <w:szCs w:val="16"/>
              </w:rPr>
              <w:t>52%</w:t>
            </w:r>
          </w:p>
        </w:tc>
        <w:tc>
          <w:tcPr>
            <w:tcW w:w="1929" w:type="dxa"/>
            <w:vAlign w:val="center"/>
          </w:tcPr>
          <w:p w14:paraId="068A2DC5" w14:textId="291F1B27" w:rsidR="00A77F6D" w:rsidRPr="00A77F6D" w:rsidRDefault="00F700B2" w:rsidP="00F700B2">
            <w:pPr>
              <w:jc w:val="center"/>
              <w:rPr>
                <w:rFonts w:ascii="Verdana" w:hAnsi="Verdana"/>
                <w:sz w:val="16"/>
                <w:szCs w:val="16"/>
              </w:rPr>
            </w:pPr>
            <w:r>
              <w:rPr>
                <w:rFonts w:ascii="Verdana" w:hAnsi="Verdana"/>
                <w:sz w:val="16"/>
                <w:szCs w:val="16"/>
              </w:rPr>
              <w:t>47%</w:t>
            </w:r>
          </w:p>
        </w:tc>
        <w:tc>
          <w:tcPr>
            <w:tcW w:w="694" w:type="dxa"/>
            <w:vAlign w:val="center"/>
          </w:tcPr>
          <w:p w14:paraId="7E0A95A3" w14:textId="797C9BF6" w:rsidR="00A77F6D" w:rsidRPr="00A77F6D" w:rsidRDefault="00F700B2" w:rsidP="00F700B2">
            <w:pPr>
              <w:jc w:val="center"/>
              <w:rPr>
                <w:rFonts w:ascii="Verdana" w:hAnsi="Verdana"/>
                <w:sz w:val="16"/>
                <w:szCs w:val="16"/>
              </w:rPr>
            </w:pPr>
            <w:r>
              <w:rPr>
                <w:rFonts w:ascii="Verdana" w:hAnsi="Verdana"/>
                <w:sz w:val="16"/>
                <w:szCs w:val="16"/>
              </w:rPr>
              <w:t>100%</w:t>
            </w:r>
          </w:p>
        </w:tc>
        <w:tc>
          <w:tcPr>
            <w:tcW w:w="1942" w:type="dxa"/>
            <w:vAlign w:val="center"/>
          </w:tcPr>
          <w:p w14:paraId="771B7B75" w14:textId="23497E32" w:rsidR="00A77F6D" w:rsidRPr="00A77F6D" w:rsidRDefault="00F700B2" w:rsidP="00F700B2">
            <w:pPr>
              <w:jc w:val="center"/>
              <w:rPr>
                <w:rFonts w:ascii="Verdana" w:hAnsi="Verdana"/>
                <w:sz w:val="16"/>
                <w:szCs w:val="16"/>
              </w:rPr>
            </w:pPr>
            <w:r>
              <w:rPr>
                <w:rFonts w:ascii="Verdana" w:hAnsi="Verdana"/>
                <w:sz w:val="16"/>
                <w:szCs w:val="16"/>
              </w:rPr>
              <w:t>96%</w:t>
            </w:r>
          </w:p>
        </w:tc>
        <w:tc>
          <w:tcPr>
            <w:tcW w:w="1671" w:type="dxa"/>
            <w:vAlign w:val="center"/>
          </w:tcPr>
          <w:p w14:paraId="745C3169" w14:textId="40FC1CFE" w:rsidR="00A77F6D" w:rsidRPr="00A77F6D" w:rsidRDefault="00F700B2" w:rsidP="00F700B2">
            <w:pPr>
              <w:jc w:val="center"/>
              <w:rPr>
                <w:rFonts w:ascii="Verdana" w:hAnsi="Verdana"/>
                <w:sz w:val="16"/>
                <w:szCs w:val="16"/>
              </w:rPr>
            </w:pPr>
            <w:r>
              <w:rPr>
                <w:rFonts w:ascii="Verdana" w:hAnsi="Verdana"/>
                <w:sz w:val="16"/>
                <w:szCs w:val="16"/>
              </w:rPr>
              <w:t>98%</w:t>
            </w:r>
          </w:p>
        </w:tc>
      </w:tr>
      <w:tr w:rsidR="00A77F6D" w14:paraId="590D7AD7" w14:textId="77777777" w:rsidTr="007368D5">
        <w:trPr>
          <w:trHeight w:val="435"/>
        </w:trPr>
        <w:tc>
          <w:tcPr>
            <w:tcW w:w="1107" w:type="dxa"/>
            <w:vAlign w:val="center"/>
          </w:tcPr>
          <w:p w14:paraId="31500C1E" w14:textId="48748BAC" w:rsidR="00A77F6D" w:rsidRPr="00A77F6D" w:rsidRDefault="00F700B2" w:rsidP="00A77F6D">
            <w:pPr>
              <w:rPr>
                <w:rFonts w:ascii="Verdana" w:hAnsi="Verdana"/>
                <w:sz w:val="16"/>
                <w:szCs w:val="16"/>
              </w:rPr>
            </w:pPr>
            <w:r>
              <w:rPr>
                <w:rFonts w:ascii="Verdana" w:hAnsi="Verdana"/>
                <w:sz w:val="16"/>
                <w:szCs w:val="16"/>
              </w:rPr>
              <w:t>Primaire</w:t>
            </w:r>
          </w:p>
        </w:tc>
        <w:tc>
          <w:tcPr>
            <w:tcW w:w="927" w:type="dxa"/>
            <w:vAlign w:val="center"/>
          </w:tcPr>
          <w:p w14:paraId="66EDB2DD" w14:textId="3E8720C4" w:rsidR="00A77F6D" w:rsidRPr="00A77F6D" w:rsidRDefault="00F700B2" w:rsidP="00F700B2">
            <w:pPr>
              <w:jc w:val="center"/>
              <w:rPr>
                <w:rFonts w:ascii="Verdana" w:hAnsi="Verdana"/>
                <w:sz w:val="16"/>
                <w:szCs w:val="16"/>
              </w:rPr>
            </w:pPr>
            <w:r>
              <w:rPr>
                <w:rFonts w:ascii="Verdana" w:hAnsi="Verdana"/>
                <w:sz w:val="16"/>
                <w:szCs w:val="16"/>
              </w:rPr>
              <w:t>100%</w:t>
            </w:r>
          </w:p>
        </w:tc>
        <w:tc>
          <w:tcPr>
            <w:tcW w:w="1790" w:type="dxa"/>
            <w:vAlign w:val="center"/>
          </w:tcPr>
          <w:p w14:paraId="47F3AB91" w14:textId="16A7AB03" w:rsidR="00A77F6D" w:rsidRPr="00A77F6D" w:rsidRDefault="00F700B2" w:rsidP="00F700B2">
            <w:pPr>
              <w:jc w:val="center"/>
              <w:rPr>
                <w:rFonts w:ascii="Verdana" w:hAnsi="Verdana"/>
                <w:sz w:val="16"/>
                <w:szCs w:val="16"/>
              </w:rPr>
            </w:pPr>
            <w:r>
              <w:rPr>
                <w:rFonts w:ascii="Verdana" w:hAnsi="Verdana"/>
                <w:sz w:val="16"/>
                <w:szCs w:val="16"/>
              </w:rPr>
              <w:t>55%</w:t>
            </w:r>
          </w:p>
        </w:tc>
        <w:tc>
          <w:tcPr>
            <w:tcW w:w="1929" w:type="dxa"/>
            <w:vAlign w:val="center"/>
          </w:tcPr>
          <w:p w14:paraId="6A09A700" w14:textId="5006C26A" w:rsidR="00A77F6D" w:rsidRPr="00A77F6D" w:rsidRDefault="00F700B2" w:rsidP="00F700B2">
            <w:pPr>
              <w:jc w:val="center"/>
              <w:rPr>
                <w:rFonts w:ascii="Verdana" w:hAnsi="Verdana"/>
                <w:sz w:val="16"/>
                <w:szCs w:val="16"/>
              </w:rPr>
            </w:pPr>
            <w:r>
              <w:rPr>
                <w:rFonts w:ascii="Verdana" w:hAnsi="Verdana"/>
                <w:sz w:val="16"/>
                <w:szCs w:val="16"/>
              </w:rPr>
              <w:t>50%</w:t>
            </w:r>
          </w:p>
        </w:tc>
        <w:tc>
          <w:tcPr>
            <w:tcW w:w="694" w:type="dxa"/>
            <w:vAlign w:val="center"/>
          </w:tcPr>
          <w:p w14:paraId="0F58963A" w14:textId="0446940E" w:rsidR="00A77F6D" w:rsidRPr="00A77F6D" w:rsidRDefault="00F700B2" w:rsidP="00F700B2">
            <w:pPr>
              <w:jc w:val="center"/>
              <w:rPr>
                <w:rFonts w:ascii="Verdana" w:hAnsi="Verdana"/>
                <w:sz w:val="16"/>
                <w:szCs w:val="16"/>
              </w:rPr>
            </w:pPr>
            <w:r>
              <w:rPr>
                <w:rFonts w:ascii="Verdana" w:hAnsi="Verdana"/>
                <w:sz w:val="16"/>
                <w:szCs w:val="16"/>
              </w:rPr>
              <w:t>100%</w:t>
            </w:r>
          </w:p>
        </w:tc>
        <w:tc>
          <w:tcPr>
            <w:tcW w:w="1942" w:type="dxa"/>
            <w:vAlign w:val="center"/>
          </w:tcPr>
          <w:p w14:paraId="5487DFC6" w14:textId="084419F5" w:rsidR="00A77F6D" w:rsidRPr="00A77F6D" w:rsidRDefault="00F700B2" w:rsidP="00F700B2">
            <w:pPr>
              <w:jc w:val="center"/>
              <w:rPr>
                <w:rFonts w:ascii="Verdana" w:hAnsi="Verdana"/>
                <w:sz w:val="16"/>
                <w:szCs w:val="16"/>
              </w:rPr>
            </w:pPr>
            <w:r>
              <w:rPr>
                <w:rFonts w:ascii="Verdana" w:hAnsi="Verdana"/>
                <w:sz w:val="16"/>
                <w:szCs w:val="16"/>
              </w:rPr>
              <w:t>97%</w:t>
            </w:r>
          </w:p>
        </w:tc>
        <w:tc>
          <w:tcPr>
            <w:tcW w:w="1671" w:type="dxa"/>
            <w:vAlign w:val="center"/>
          </w:tcPr>
          <w:p w14:paraId="7BA08B50" w14:textId="60E20384" w:rsidR="00A77F6D" w:rsidRPr="00A77F6D" w:rsidRDefault="00F700B2" w:rsidP="00F700B2">
            <w:pPr>
              <w:jc w:val="center"/>
              <w:rPr>
                <w:rFonts w:ascii="Verdana" w:hAnsi="Verdana"/>
                <w:sz w:val="16"/>
                <w:szCs w:val="16"/>
              </w:rPr>
            </w:pPr>
            <w:r>
              <w:rPr>
                <w:rFonts w:ascii="Verdana" w:hAnsi="Verdana"/>
                <w:sz w:val="16"/>
                <w:szCs w:val="16"/>
              </w:rPr>
              <w:t>93%</w:t>
            </w:r>
          </w:p>
        </w:tc>
      </w:tr>
      <w:tr w:rsidR="00A77F6D" w14:paraId="08892312" w14:textId="77777777" w:rsidTr="007368D5">
        <w:trPr>
          <w:trHeight w:val="398"/>
        </w:trPr>
        <w:tc>
          <w:tcPr>
            <w:tcW w:w="1107" w:type="dxa"/>
            <w:vAlign w:val="center"/>
          </w:tcPr>
          <w:p w14:paraId="752E70D4" w14:textId="22849163" w:rsidR="00A77F6D" w:rsidRPr="00A77F6D" w:rsidRDefault="00F700B2" w:rsidP="00A77F6D">
            <w:pPr>
              <w:rPr>
                <w:rFonts w:ascii="Verdana" w:hAnsi="Verdana"/>
                <w:sz w:val="16"/>
                <w:szCs w:val="16"/>
              </w:rPr>
            </w:pPr>
            <w:r>
              <w:rPr>
                <w:rFonts w:ascii="Verdana" w:hAnsi="Verdana"/>
                <w:sz w:val="16"/>
                <w:szCs w:val="16"/>
              </w:rPr>
              <w:t>Secondaire</w:t>
            </w:r>
          </w:p>
        </w:tc>
        <w:tc>
          <w:tcPr>
            <w:tcW w:w="927" w:type="dxa"/>
            <w:vAlign w:val="center"/>
          </w:tcPr>
          <w:p w14:paraId="11AB7658" w14:textId="3B7C508D" w:rsidR="00A77F6D" w:rsidRPr="00A77F6D" w:rsidRDefault="00F700B2" w:rsidP="00F700B2">
            <w:pPr>
              <w:jc w:val="center"/>
              <w:rPr>
                <w:rFonts w:ascii="Verdana" w:hAnsi="Verdana"/>
                <w:sz w:val="16"/>
                <w:szCs w:val="16"/>
              </w:rPr>
            </w:pPr>
            <w:r>
              <w:rPr>
                <w:rFonts w:ascii="Verdana" w:hAnsi="Verdana"/>
                <w:sz w:val="16"/>
                <w:szCs w:val="16"/>
              </w:rPr>
              <w:t>100%</w:t>
            </w:r>
          </w:p>
        </w:tc>
        <w:tc>
          <w:tcPr>
            <w:tcW w:w="1790" w:type="dxa"/>
            <w:vAlign w:val="center"/>
          </w:tcPr>
          <w:p w14:paraId="79E7D539" w14:textId="31F4A29D" w:rsidR="00A77F6D" w:rsidRPr="00A77F6D" w:rsidRDefault="00F700B2" w:rsidP="00F700B2">
            <w:pPr>
              <w:jc w:val="center"/>
              <w:rPr>
                <w:rFonts w:ascii="Verdana" w:hAnsi="Verdana"/>
                <w:sz w:val="16"/>
                <w:szCs w:val="16"/>
              </w:rPr>
            </w:pPr>
            <w:r>
              <w:rPr>
                <w:rFonts w:ascii="Verdana" w:hAnsi="Verdana"/>
                <w:sz w:val="16"/>
                <w:szCs w:val="16"/>
              </w:rPr>
              <w:t>63%</w:t>
            </w:r>
          </w:p>
        </w:tc>
        <w:tc>
          <w:tcPr>
            <w:tcW w:w="1929" w:type="dxa"/>
            <w:vAlign w:val="center"/>
          </w:tcPr>
          <w:p w14:paraId="4DEBE1F2" w14:textId="53BD25A0" w:rsidR="00A77F6D" w:rsidRPr="00A77F6D" w:rsidRDefault="00F700B2" w:rsidP="00F700B2">
            <w:pPr>
              <w:jc w:val="center"/>
              <w:rPr>
                <w:rFonts w:ascii="Verdana" w:hAnsi="Verdana"/>
                <w:sz w:val="16"/>
                <w:szCs w:val="16"/>
              </w:rPr>
            </w:pPr>
            <w:r>
              <w:rPr>
                <w:rFonts w:ascii="Verdana" w:hAnsi="Verdana"/>
                <w:sz w:val="16"/>
                <w:szCs w:val="16"/>
              </w:rPr>
              <w:t>57%</w:t>
            </w:r>
          </w:p>
        </w:tc>
        <w:tc>
          <w:tcPr>
            <w:tcW w:w="694" w:type="dxa"/>
            <w:vAlign w:val="center"/>
          </w:tcPr>
          <w:p w14:paraId="6D47CCAA" w14:textId="22AA8A92" w:rsidR="00A77F6D" w:rsidRPr="00A77F6D" w:rsidRDefault="00F700B2" w:rsidP="00F700B2">
            <w:pPr>
              <w:jc w:val="center"/>
              <w:rPr>
                <w:rFonts w:ascii="Verdana" w:hAnsi="Verdana"/>
                <w:sz w:val="16"/>
                <w:szCs w:val="16"/>
              </w:rPr>
            </w:pPr>
            <w:r>
              <w:rPr>
                <w:rFonts w:ascii="Verdana" w:hAnsi="Verdana"/>
                <w:sz w:val="16"/>
                <w:szCs w:val="16"/>
              </w:rPr>
              <w:t>100%</w:t>
            </w:r>
          </w:p>
        </w:tc>
        <w:tc>
          <w:tcPr>
            <w:tcW w:w="1942" w:type="dxa"/>
            <w:vAlign w:val="center"/>
          </w:tcPr>
          <w:p w14:paraId="76838818" w14:textId="5EBC84F4" w:rsidR="00A77F6D" w:rsidRPr="00A77F6D" w:rsidRDefault="00F700B2" w:rsidP="00F700B2">
            <w:pPr>
              <w:jc w:val="center"/>
              <w:rPr>
                <w:rFonts w:ascii="Verdana" w:hAnsi="Verdana"/>
                <w:sz w:val="16"/>
                <w:szCs w:val="16"/>
              </w:rPr>
            </w:pPr>
            <w:r>
              <w:rPr>
                <w:rFonts w:ascii="Verdana" w:hAnsi="Verdana"/>
                <w:sz w:val="16"/>
                <w:szCs w:val="16"/>
              </w:rPr>
              <w:t>97%</w:t>
            </w:r>
          </w:p>
        </w:tc>
        <w:tc>
          <w:tcPr>
            <w:tcW w:w="1671" w:type="dxa"/>
            <w:vAlign w:val="center"/>
          </w:tcPr>
          <w:p w14:paraId="2F09081E" w14:textId="644EA299" w:rsidR="00A77F6D" w:rsidRPr="00A77F6D" w:rsidRDefault="00F700B2" w:rsidP="00F700B2">
            <w:pPr>
              <w:jc w:val="center"/>
              <w:rPr>
                <w:rFonts w:ascii="Verdana" w:hAnsi="Verdana"/>
                <w:sz w:val="16"/>
                <w:szCs w:val="16"/>
              </w:rPr>
            </w:pPr>
            <w:r>
              <w:rPr>
                <w:rFonts w:ascii="Verdana" w:hAnsi="Verdana"/>
                <w:sz w:val="16"/>
                <w:szCs w:val="16"/>
              </w:rPr>
              <w:t>94%</w:t>
            </w:r>
          </w:p>
        </w:tc>
      </w:tr>
    </w:tbl>
    <w:p w14:paraId="6CE44390" w14:textId="52CA3C95" w:rsidR="006F3107" w:rsidRDefault="00A77F6D" w:rsidP="00AC4380">
      <w:pPr>
        <w:rPr>
          <w:rFonts w:ascii="Verdana" w:hAnsi="Verdana"/>
          <w:sz w:val="20"/>
          <w:szCs w:val="20"/>
        </w:rPr>
      </w:pPr>
      <w:r>
        <w:rPr>
          <w:rFonts w:ascii="Verdana" w:hAnsi="Verdana"/>
          <w:sz w:val="20"/>
          <w:szCs w:val="20"/>
        </w:rPr>
        <w:softHyphen/>
      </w:r>
    </w:p>
    <w:p w14:paraId="0253FACC" w14:textId="56FAC1A9" w:rsidR="001B5B9F" w:rsidRPr="00D3300D" w:rsidRDefault="005E1891" w:rsidP="00AC4380">
      <w:pPr>
        <w:rPr>
          <w:rFonts w:ascii="Verdana" w:hAnsi="Verdana"/>
          <w:sz w:val="20"/>
          <w:szCs w:val="20"/>
        </w:rPr>
      </w:pPr>
      <w:r w:rsidRPr="00D3300D">
        <w:rPr>
          <w:rFonts w:ascii="Verdana" w:hAnsi="Verdana"/>
          <w:sz w:val="20"/>
          <w:szCs w:val="20"/>
        </w:rPr>
        <w:t>Ce tableau</w:t>
      </w:r>
      <w:r w:rsidR="000E3989" w:rsidRPr="00D3300D">
        <w:rPr>
          <w:rFonts w:ascii="Verdana" w:hAnsi="Verdana"/>
          <w:sz w:val="20"/>
          <w:szCs w:val="20"/>
        </w:rPr>
        <w:t xml:space="preserve"> fait apparaître une </w:t>
      </w:r>
      <w:r w:rsidR="000E3989" w:rsidRPr="00455216">
        <w:rPr>
          <w:rFonts w:ascii="Verdana" w:hAnsi="Verdana"/>
          <w:b/>
          <w:i/>
          <w:sz w:val="20"/>
          <w:szCs w:val="20"/>
        </w:rPr>
        <w:t>situation beaucoup plus équilibrée en Flandre</w:t>
      </w:r>
      <w:r w:rsidR="00FA5F18" w:rsidRPr="00D3300D">
        <w:rPr>
          <w:rFonts w:ascii="Verdana" w:hAnsi="Verdana"/>
          <w:sz w:val="20"/>
          <w:szCs w:val="20"/>
        </w:rPr>
        <w:t>, les écoles subvent</w:t>
      </w:r>
      <w:r w:rsidR="002F1DAE" w:rsidRPr="00D3300D">
        <w:rPr>
          <w:rFonts w:ascii="Verdana" w:hAnsi="Verdana"/>
          <w:sz w:val="20"/>
          <w:szCs w:val="20"/>
        </w:rPr>
        <w:t xml:space="preserve">ionnées percevant entre 93% et 97% </w:t>
      </w:r>
      <w:r w:rsidR="000E3989" w:rsidRPr="00D3300D">
        <w:rPr>
          <w:rFonts w:ascii="Verdana" w:hAnsi="Verdana"/>
          <w:sz w:val="20"/>
          <w:szCs w:val="20"/>
        </w:rPr>
        <w:t xml:space="preserve">des moyens de fonctionnement alloués </w:t>
      </w:r>
      <w:r w:rsidR="004D3698" w:rsidRPr="00D3300D">
        <w:rPr>
          <w:rFonts w:ascii="Verdana" w:hAnsi="Verdana"/>
          <w:sz w:val="20"/>
          <w:szCs w:val="20"/>
        </w:rPr>
        <w:t xml:space="preserve">à </w:t>
      </w:r>
      <w:r w:rsidR="000E3989" w:rsidRPr="00D3300D">
        <w:rPr>
          <w:rFonts w:ascii="Verdana" w:hAnsi="Verdana"/>
          <w:sz w:val="20"/>
          <w:szCs w:val="20"/>
        </w:rPr>
        <w:t>GO</w:t>
      </w:r>
      <w:r w:rsidR="00732644" w:rsidRPr="00D3300D">
        <w:rPr>
          <w:rFonts w:ascii="Verdana" w:hAnsi="Verdana"/>
          <w:sz w:val="20"/>
          <w:szCs w:val="20"/>
        </w:rPr>
        <w:t>!</w:t>
      </w:r>
      <w:r w:rsidR="000A2E9D" w:rsidRPr="00D3300D">
        <w:rPr>
          <w:rFonts w:ascii="Verdana" w:hAnsi="Verdana"/>
          <w:sz w:val="20"/>
          <w:szCs w:val="20"/>
        </w:rPr>
        <w:t xml:space="preserve"> </w:t>
      </w:r>
      <w:r w:rsidR="004D3698" w:rsidRPr="00D3300D">
        <w:rPr>
          <w:rFonts w:ascii="Verdana" w:hAnsi="Verdana"/>
          <w:sz w:val="20"/>
          <w:szCs w:val="20"/>
        </w:rPr>
        <w:t xml:space="preserve">, le </w:t>
      </w:r>
      <w:r w:rsidR="00660E8C" w:rsidRPr="00D3300D">
        <w:rPr>
          <w:rFonts w:ascii="Verdana" w:hAnsi="Verdana"/>
          <w:sz w:val="20"/>
          <w:szCs w:val="20"/>
        </w:rPr>
        <w:t xml:space="preserve">réseau d’enseignement organisé par la Communauté flamande. </w:t>
      </w:r>
      <w:r w:rsidR="00F34D8E" w:rsidRPr="00D3300D">
        <w:rPr>
          <w:rFonts w:ascii="Verdana" w:hAnsi="Verdana"/>
          <w:sz w:val="20"/>
          <w:szCs w:val="20"/>
        </w:rPr>
        <w:t>D</w:t>
      </w:r>
      <w:r w:rsidR="000E3989" w:rsidRPr="00D3300D">
        <w:rPr>
          <w:rFonts w:ascii="Verdana" w:hAnsi="Verdana"/>
          <w:sz w:val="20"/>
          <w:szCs w:val="20"/>
        </w:rPr>
        <w:t>u côté francophone,</w:t>
      </w:r>
      <w:r w:rsidR="00FF00FB" w:rsidRPr="00D3300D">
        <w:rPr>
          <w:rFonts w:ascii="Verdana" w:hAnsi="Verdana"/>
          <w:sz w:val="20"/>
          <w:szCs w:val="20"/>
        </w:rPr>
        <w:t xml:space="preserve"> </w:t>
      </w:r>
      <w:r w:rsidR="000E3989" w:rsidRPr="00D3300D">
        <w:rPr>
          <w:rFonts w:ascii="Verdana" w:hAnsi="Verdana"/>
          <w:sz w:val="20"/>
          <w:szCs w:val="20"/>
        </w:rPr>
        <w:t xml:space="preserve">l’enseignement subventionné ne bénéficie que de 47% à maximum 63% des moyens </w:t>
      </w:r>
      <w:r w:rsidR="00FF00FB" w:rsidRPr="00D3300D">
        <w:rPr>
          <w:rFonts w:ascii="Verdana" w:hAnsi="Verdana"/>
          <w:sz w:val="20"/>
          <w:szCs w:val="20"/>
        </w:rPr>
        <w:t xml:space="preserve">alloués </w:t>
      </w:r>
      <w:r w:rsidR="00F34D8E" w:rsidRPr="00D3300D">
        <w:rPr>
          <w:rFonts w:ascii="Verdana" w:hAnsi="Verdana"/>
          <w:sz w:val="20"/>
          <w:szCs w:val="20"/>
        </w:rPr>
        <w:t xml:space="preserve">à </w:t>
      </w:r>
      <w:r w:rsidR="000E3989" w:rsidRPr="00D3300D">
        <w:rPr>
          <w:rFonts w:ascii="Verdana" w:hAnsi="Verdana"/>
          <w:sz w:val="20"/>
          <w:szCs w:val="20"/>
        </w:rPr>
        <w:t>WBE</w:t>
      </w:r>
      <w:r w:rsidR="00F34D8E" w:rsidRPr="00D3300D">
        <w:rPr>
          <w:rFonts w:ascii="Verdana" w:hAnsi="Verdana"/>
          <w:sz w:val="20"/>
          <w:szCs w:val="20"/>
        </w:rPr>
        <w:t>, le réseau d’enseignement organisé par la Fédération Wallonie-Bruxelles</w:t>
      </w:r>
      <w:r w:rsidR="000E3989" w:rsidRPr="00D3300D">
        <w:rPr>
          <w:rFonts w:ascii="Verdana" w:hAnsi="Verdana"/>
          <w:sz w:val="20"/>
          <w:szCs w:val="20"/>
        </w:rPr>
        <w:t xml:space="preserve">. </w:t>
      </w:r>
      <w:r w:rsidR="004F3900" w:rsidRPr="00D3300D">
        <w:rPr>
          <w:rFonts w:ascii="Verdana" w:hAnsi="Verdana"/>
          <w:sz w:val="20"/>
          <w:szCs w:val="20"/>
        </w:rPr>
        <w:t>En raison de</w:t>
      </w:r>
      <w:r w:rsidR="00D03C5B" w:rsidRPr="00D3300D">
        <w:rPr>
          <w:rFonts w:ascii="Verdana" w:hAnsi="Verdana"/>
          <w:sz w:val="20"/>
          <w:szCs w:val="20"/>
        </w:rPr>
        <w:t xml:space="preserve"> la faiblesse des moyens de fonctionnement dévolus aux écoles fondamentales, les PO actifs à ce niveau d’enseignement, communes et ASBL d</w:t>
      </w:r>
      <w:r w:rsidR="000C27CE" w:rsidRPr="00D3300D">
        <w:rPr>
          <w:rFonts w:ascii="Verdana" w:hAnsi="Verdana"/>
          <w:sz w:val="20"/>
          <w:szCs w:val="20"/>
        </w:rPr>
        <w:t>e l’enseignement libre, sont particulièrement lésés.</w:t>
      </w:r>
    </w:p>
    <w:p w14:paraId="262FE44F" w14:textId="308CE0DB" w:rsidR="00562196" w:rsidRDefault="00562196" w:rsidP="00562196">
      <w:pPr>
        <w:spacing w:line="240" w:lineRule="auto"/>
        <w:rPr>
          <w:rFonts w:ascii="Verdana" w:hAnsi="Verdana"/>
          <w:i/>
          <w:iCs/>
          <w:sz w:val="20"/>
          <w:szCs w:val="20"/>
        </w:rPr>
      </w:pPr>
      <w:r w:rsidRPr="00D3300D">
        <w:rPr>
          <w:rFonts w:ascii="Verdana" w:hAnsi="Verdana"/>
          <w:sz w:val="20"/>
          <w:szCs w:val="20"/>
        </w:rPr>
        <w:t>Le Ministre-Président de la Fédération Wallonie-Bruxelle</w:t>
      </w:r>
      <w:r w:rsidR="003F3237" w:rsidRPr="00D3300D">
        <w:rPr>
          <w:rFonts w:ascii="Verdana" w:hAnsi="Verdana"/>
          <w:sz w:val="20"/>
          <w:szCs w:val="20"/>
        </w:rPr>
        <w:t>s (</w:t>
      </w:r>
      <w:r w:rsidR="00E22900" w:rsidRPr="00D3300D">
        <w:rPr>
          <w:rFonts w:ascii="Verdana" w:hAnsi="Verdana"/>
          <w:sz w:val="20"/>
          <w:szCs w:val="20"/>
        </w:rPr>
        <w:t xml:space="preserve">Pierre-Yves </w:t>
      </w:r>
      <w:proofErr w:type="spellStart"/>
      <w:r w:rsidR="00E22900" w:rsidRPr="00D3300D">
        <w:rPr>
          <w:rFonts w:ascii="Verdana" w:hAnsi="Verdana"/>
          <w:sz w:val="20"/>
          <w:szCs w:val="20"/>
        </w:rPr>
        <w:t>Jeholet</w:t>
      </w:r>
      <w:proofErr w:type="spellEnd"/>
      <w:r w:rsidR="00E22900" w:rsidRPr="00D3300D">
        <w:rPr>
          <w:rFonts w:ascii="Verdana" w:hAnsi="Verdana"/>
          <w:sz w:val="20"/>
          <w:szCs w:val="20"/>
        </w:rPr>
        <w:t>,</w:t>
      </w:r>
      <w:r w:rsidR="003F3237" w:rsidRPr="00D3300D">
        <w:rPr>
          <w:rFonts w:ascii="Verdana" w:hAnsi="Verdana"/>
          <w:sz w:val="20"/>
          <w:szCs w:val="20"/>
        </w:rPr>
        <w:t xml:space="preserve"> MR) </w:t>
      </w:r>
      <w:r w:rsidRPr="00D3300D">
        <w:rPr>
          <w:rFonts w:ascii="Verdana" w:hAnsi="Verdana"/>
          <w:sz w:val="20"/>
          <w:szCs w:val="20"/>
        </w:rPr>
        <w:t>s’est</w:t>
      </w:r>
      <w:r w:rsidR="003573CB" w:rsidRPr="00D3300D">
        <w:rPr>
          <w:rFonts w:ascii="Verdana" w:hAnsi="Verdana"/>
          <w:sz w:val="20"/>
          <w:szCs w:val="20"/>
        </w:rPr>
        <w:t xml:space="preserve"> récemment exprimé sur ce sujet en se </w:t>
      </w:r>
      <w:r w:rsidRPr="00D3300D">
        <w:rPr>
          <w:rFonts w:ascii="Verdana" w:hAnsi="Verdana"/>
          <w:sz w:val="20"/>
          <w:szCs w:val="20"/>
        </w:rPr>
        <w:t>montr</w:t>
      </w:r>
      <w:r w:rsidR="003573CB" w:rsidRPr="00D3300D">
        <w:rPr>
          <w:rFonts w:ascii="Verdana" w:hAnsi="Verdana"/>
          <w:sz w:val="20"/>
          <w:szCs w:val="20"/>
        </w:rPr>
        <w:t>ant</w:t>
      </w:r>
      <w:r w:rsidRPr="00D3300D">
        <w:rPr>
          <w:rFonts w:ascii="Verdana" w:hAnsi="Verdana"/>
          <w:sz w:val="20"/>
          <w:szCs w:val="20"/>
        </w:rPr>
        <w:t xml:space="preserve"> sensible à la nécessité de préserver un équilibre suffisant entre les différents réseaux d’enseignement.  « </w:t>
      </w:r>
      <w:r w:rsidRPr="00D3300D">
        <w:rPr>
          <w:rFonts w:ascii="Verdana" w:hAnsi="Verdana"/>
          <w:i/>
          <w:iCs/>
          <w:sz w:val="20"/>
          <w:szCs w:val="20"/>
        </w:rPr>
        <w:t>L’engagement pris lors des accords de la Saint-Boniface de financer le réseau libre à concurrence de 75% du financement de l’officiel</w:t>
      </w:r>
      <w:r w:rsidR="00CF70AF" w:rsidRPr="00D3300D">
        <w:rPr>
          <w:rFonts w:ascii="Verdana" w:hAnsi="Verdana"/>
          <w:i/>
          <w:iCs/>
          <w:sz w:val="20"/>
          <w:szCs w:val="20"/>
        </w:rPr>
        <w:t xml:space="preserve"> (WBE) </w:t>
      </w:r>
      <w:r w:rsidRPr="00D3300D">
        <w:rPr>
          <w:rFonts w:ascii="Verdana" w:hAnsi="Verdana"/>
          <w:i/>
          <w:iCs/>
          <w:sz w:val="20"/>
          <w:szCs w:val="20"/>
        </w:rPr>
        <w:t xml:space="preserve">n’a fait qu’être reporté dans le temps (…) La Cour constitutionnelle a donné raison au </w:t>
      </w:r>
      <w:proofErr w:type="spellStart"/>
      <w:r w:rsidRPr="00D3300D">
        <w:rPr>
          <w:rFonts w:ascii="Verdana" w:hAnsi="Verdana"/>
          <w:i/>
          <w:iCs/>
          <w:sz w:val="20"/>
          <w:szCs w:val="20"/>
        </w:rPr>
        <w:t>Segec</w:t>
      </w:r>
      <w:proofErr w:type="spellEnd"/>
      <w:r w:rsidRPr="00D3300D">
        <w:rPr>
          <w:rFonts w:ascii="Verdana" w:hAnsi="Verdana"/>
          <w:i/>
          <w:iCs/>
          <w:sz w:val="20"/>
          <w:szCs w:val="20"/>
        </w:rPr>
        <w:t xml:space="preserve"> qui a introduit un recours contre ce nouveau report. Elle nous oblige à trouver une solution d’ici fin 2022. C’est demain. Et je ne ferai pas comme mes prédécesseurs : cette discussion doit avoir lieu. Ce ne sera pas simple, mais pas question de reporter encore ce débat. En Flandre, il est résolu depuis longtemps. » </w:t>
      </w:r>
    </w:p>
    <w:p w14:paraId="279AFF69" w14:textId="77777777" w:rsidR="00764F6B" w:rsidRPr="00D3300D" w:rsidRDefault="00764F6B" w:rsidP="00562196">
      <w:pPr>
        <w:spacing w:line="240" w:lineRule="auto"/>
        <w:rPr>
          <w:rFonts w:ascii="Verdana" w:hAnsi="Verdana"/>
          <w:i/>
          <w:iCs/>
          <w:sz w:val="20"/>
          <w:szCs w:val="20"/>
        </w:rPr>
      </w:pPr>
    </w:p>
    <w:p w14:paraId="01D6B3CB" w14:textId="6B943A49" w:rsidR="000D4C19" w:rsidRPr="00C54E85" w:rsidRDefault="00764F6B" w:rsidP="00C54E85">
      <w:pPr>
        <w:rPr>
          <w:rFonts w:ascii="Verdana" w:hAnsi="Verdana"/>
          <w:b/>
          <w:bCs/>
          <w:sz w:val="20"/>
          <w:szCs w:val="20"/>
        </w:rPr>
      </w:pPr>
      <w:r>
        <w:rPr>
          <w:rFonts w:ascii="Verdana" w:hAnsi="Verdana"/>
          <w:b/>
          <w:bCs/>
          <w:sz w:val="20"/>
          <w:szCs w:val="20"/>
        </w:rPr>
        <w:t>Votre soutien</w:t>
      </w:r>
    </w:p>
    <w:p w14:paraId="173B0E8B" w14:textId="77777777" w:rsidR="002423B0" w:rsidRPr="00D3300D" w:rsidRDefault="00F3159B" w:rsidP="00562196">
      <w:pPr>
        <w:spacing w:line="240" w:lineRule="auto"/>
        <w:rPr>
          <w:rFonts w:ascii="Verdana" w:hAnsi="Verdana"/>
          <w:sz w:val="20"/>
          <w:szCs w:val="20"/>
        </w:rPr>
      </w:pPr>
      <w:r w:rsidRPr="00D3300D">
        <w:rPr>
          <w:rFonts w:ascii="Verdana" w:hAnsi="Verdana"/>
          <w:sz w:val="20"/>
          <w:szCs w:val="20"/>
        </w:rPr>
        <w:t>A</w:t>
      </w:r>
      <w:r w:rsidR="00CD7BFD" w:rsidRPr="00D3300D">
        <w:rPr>
          <w:rFonts w:ascii="Verdana" w:hAnsi="Verdana"/>
          <w:sz w:val="20"/>
          <w:szCs w:val="20"/>
        </w:rPr>
        <w:t xml:space="preserve">u moment où se met en œuvre le </w:t>
      </w:r>
      <w:r w:rsidR="00747792" w:rsidRPr="00D3300D">
        <w:rPr>
          <w:rFonts w:ascii="Verdana" w:hAnsi="Verdana"/>
          <w:sz w:val="20"/>
          <w:szCs w:val="20"/>
        </w:rPr>
        <w:t>Pacte pour un enseignement d’excellence</w:t>
      </w:r>
      <w:r w:rsidR="00CD7BFD" w:rsidRPr="00D3300D">
        <w:rPr>
          <w:rFonts w:ascii="Verdana" w:hAnsi="Verdana"/>
          <w:sz w:val="20"/>
          <w:szCs w:val="20"/>
        </w:rPr>
        <w:t xml:space="preserve"> et où </w:t>
      </w:r>
      <w:r w:rsidR="006907A2" w:rsidRPr="00D3300D">
        <w:rPr>
          <w:rFonts w:ascii="Verdana" w:hAnsi="Verdana"/>
          <w:sz w:val="20"/>
          <w:szCs w:val="20"/>
        </w:rPr>
        <w:t>les écoles font fa</w:t>
      </w:r>
      <w:r w:rsidR="00E85040" w:rsidRPr="00D3300D">
        <w:rPr>
          <w:rFonts w:ascii="Verdana" w:hAnsi="Verdana"/>
          <w:sz w:val="20"/>
          <w:szCs w:val="20"/>
        </w:rPr>
        <w:t>ce</w:t>
      </w:r>
      <w:r w:rsidR="006907A2" w:rsidRPr="00D3300D">
        <w:rPr>
          <w:rFonts w:ascii="Verdana" w:hAnsi="Verdana"/>
          <w:sz w:val="20"/>
          <w:szCs w:val="20"/>
        </w:rPr>
        <w:t xml:space="preserve"> à la crise sanitaire</w:t>
      </w:r>
      <w:r w:rsidR="00894B1F" w:rsidRPr="00D3300D">
        <w:rPr>
          <w:rFonts w:ascii="Verdana" w:hAnsi="Verdana"/>
          <w:sz w:val="20"/>
          <w:szCs w:val="20"/>
        </w:rPr>
        <w:t xml:space="preserve">, l’énergie déployée par les </w:t>
      </w:r>
      <w:r w:rsidR="006B49FC" w:rsidRPr="00D3300D">
        <w:rPr>
          <w:rFonts w:ascii="Verdana" w:hAnsi="Verdana"/>
          <w:sz w:val="20"/>
          <w:szCs w:val="20"/>
        </w:rPr>
        <w:t xml:space="preserve">acteurs de l’enseignement est immense. </w:t>
      </w:r>
      <w:r w:rsidR="00A85DD0" w:rsidRPr="00D3300D">
        <w:rPr>
          <w:rFonts w:ascii="Verdana" w:hAnsi="Verdana"/>
          <w:sz w:val="20"/>
          <w:szCs w:val="20"/>
        </w:rPr>
        <w:t xml:space="preserve">Les </w:t>
      </w:r>
      <w:r w:rsidR="006B49FC" w:rsidRPr="00D3300D">
        <w:rPr>
          <w:rFonts w:ascii="Verdana" w:hAnsi="Verdana"/>
          <w:sz w:val="20"/>
          <w:szCs w:val="20"/>
        </w:rPr>
        <w:t xml:space="preserve">PO, </w:t>
      </w:r>
      <w:r w:rsidR="00A85DD0" w:rsidRPr="00D3300D">
        <w:rPr>
          <w:rFonts w:ascii="Verdana" w:hAnsi="Verdana"/>
          <w:sz w:val="20"/>
          <w:szCs w:val="20"/>
        </w:rPr>
        <w:t xml:space="preserve">les </w:t>
      </w:r>
      <w:r w:rsidR="006B49FC" w:rsidRPr="00D3300D">
        <w:rPr>
          <w:rFonts w:ascii="Verdana" w:hAnsi="Verdana"/>
          <w:sz w:val="20"/>
          <w:szCs w:val="20"/>
        </w:rPr>
        <w:t xml:space="preserve">directions et </w:t>
      </w:r>
      <w:r w:rsidR="00A85DD0" w:rsidRPr="00D3300D">
        <w:rPr>
          <w:rFonts w:ascii="Verdana" w:hAnsi="Verdana"/>
          <w:sz w:val="20"/>
          <w:szCs w:val="20"/>
        </w:rPr>
        <w:t xml:space="preserve">les équipes éducatives </w:t>
      </w:r>
      <w:r w:rsidR="00E85040" w:rsidRPr="00D3300D">
        <w:rPr>
          <w:rFonts w:ascii="Verdana" w:hAnsi="Verdana"/>
          <w:sz w:val="20"/>
          <w:szCs w:val="20"/>
        </w:rPr>
        <w:t>se mobilisent tous les jours sans compter pour as</w:t>
      </w:r>
      <w:r w:rsidR="00802A82" w:rsidRPr="00D3300D">
        <w:rPr>
          <w:rFonts w:ascii="Verdana" w:hAnsi="Verdana"/>
          <w:sz w:val="20"/>
          <w:szCs w:val="20"/>
        </w:rPr>
        <w:t>surer au mieux la mission qui est la leur</w:t>
      </w:r>
      <w:r w:rsidR="004C2CE9" w:rsidRPr="00D3300D">
        <w:rPr>
          <w:rFonts w:ascii="Verdana" w:hAnsi="Verdana"/>
          <w:sz w:val="20"/>
          <w:szCs w:val="20"/>
        </w:rPr>
        <w:t>, dans des conditions difficiles et avec des moyens limités.</w:t>
      </w:r>
      <w:r w:rsidR="00D30673" w:rsidRPr="00D3300D">
        <w:rPr>
          <w:rFonts w:ascii="Verdana" w:hAnsi="Verdana"/>
          <w:sz w:val="20"/>
          <w:szCs w:val="20"/>
        </w:rPr>
        <w:t xml:space="preserve"> </w:t>
      </w:r>
      <w:r w:rsidR="004C2CE9" w:rsidRPr="00D3300D">
        <w:rPr>
          <w:rFonts w:ascii="Verdana" w:hAnsi="Verdana"/>
          <w:sz w:val="20"/>
          <w:szCs w:val="20"/>
        </w:rPr>
        <w:t xml:space="preserve"> </w:t>
      </w:r>
    </w:p>
    <w:p w14:paraId="1FAC6362" w14:textId="59362DA7" w:rsidR="000D4C19" w:rsidRPr="00D3300D" w:rsidRDefault="00522350" w:rsidP="00562196">
      <w:pPr>
        <w:spacing w:line="240" w:lineRule="auto"/>
        <w:rPr>
          <w:rFonts w:ascii="Verdana" w:hAnsi="Verdana"/>
          <w:sz w:val="20"/>
          <w:szCs w:val="20"/>
        </w:rPr>
      </w:pPr>
      <w:r w:rsidRPr="00D3300D">
        <w:rPr>
          <w:rFonts w:ascii="Verdana" w:hAnsi="Verdana"/>
          <w:sz w:val="20"/>
          <w:szCs w:val="20"/>
        </w:rPr>
        <w:lastRenderedPageBreak/>
        <w:t xml:space="preserve">Les défis </w:t>
      </w:r>
      <w:r w:rsidR="00D30673" w:rsidRPr="00D3300D">
        <w:rPr>
          <w:rFonts w:ascii="Verdana" w:hAnsi="Verdana"/>
          <w:sz w:val="20"/>
          <w:szCs w:val="20"/>
        </w:rPr>
        <w:t xml:space="preserve">proprement scolaires </w:t>
      </w:r>
      <w:r w:rsidR="00D84F23" w:rsidRPr="00D3300D">
        <w:rPr>
          <w:rFonts w:ascii="Verdana" w:hAnsi="Verdana"/>
          <w:sz w:val="20"/>
          <w:szCs w:val="20"/>
        </w:rPr>
        <w:t xml:space="preserve">des prochaines années </w:t>
      </w:r>
      <w:r w:rsidR="00CA658C" w:rsidRPr="00D3300D">
        <w:rPr>
          <w:rFonts w:ascii="Verdana" w:hAnsi="Verdana"/>
          <w:sz w:val="20"/>
          <w:szCs w:val="20"/>
        </w:rPr>
        <w:t>seront difficiles à relever : la généralisation des plans de pilotage</w:t>
      </w:r>
      <w:r w:rsidR="00150BC2" w:rsidRPr="00D3300D">
        <w:rPr>
          <w:rFonts w:ascii="Verdana" w:hAnsi="Verdana"/>
          <w:sz w:val="20"/>
          <w:szCs w:val="20"/>
        </w:rPr>
        <w:t xml:space="preserve"> et les contrats d’objectifs qui y sont associés</w:t>
      </w:r>
      <w:r w:rsidR="00CA658C" w:rsidRPr="00D3300D">
        <w:rPr>
          <w:rFonts w:ascii="Verdana" w:hAnsi="Verdana"/>
          <w:sz w:val="20"/>
          <w:szCs w:val="20"/>
        </w:rPr>
        <w:t>, la mise en œuvre du futur tronc commun</w:t>
      </w:r>
      <w:r w:rsidR="007A2FD2" w:rsidRPr="00D3300D">
        <w:rPr>
          <w:rFonts w:ascii="Verdana" w:hAnsi="Verdana"/>
          <w:sz w:val="20"/>
          <w:szCs w:val="20"/>
        </w:rPr>
        <w:t>, le déploiement des pôles territoriaux</w:t>
      </w:r>
      <w:r w:rsidR="00CA658C" w:rsidRPr="00D3300D">
        <w:rPr>
          <w:rFonts w:ascii="Verdana" w:hAnsi="Verdana"/>
          <w:sz w:val="20"/>
          <w:szCs w:val="20"/>
        </w:rPr>
        <w:t xml:space="preserve"> et la réforme annoncée de l’enseignement qualifiant </w:t>
      </w:r>
      <w:r w:rsidR="00423E7F" w:rsidRPr="00D3300D">
        <w:rPr>
          <w:rFonts w:ascii="Verdana" w:hAnsi="Verdana"/>
          <w:sz w:val="20"/>
          <w:szCs w:val="20"/>
        </w:rPr>
        <w:t xml:space="preserve">pour n’évoquer que les chantiers les plus emblématiques. </w:t>
      </w:r>
    </w:p>
    <w:p w14:paraId="73F3DDD7" w14:textId="1906BB05" w:rsidR="006E2FA1" w:rsidRPr="00D3300D" w:rsidRDefault="006E2FA1" w:rsidP="00562196">
      <w:pPr>
        <w:spacing w:line="240" w:lineRule="auto"/>
        <w:rPr>
          <w:rFonts w:ascii="Verdana" w:hAnsi="Verdana"/>
          <w:sz w:val="20"/>
          <w:szCs w:val="20"/>
        </w:rPr>
      </w:pPr>
      <w:r w:rsidRPr="00D3300D">
        <w:rPr>
          <w:rFonts w:ascii="Verdana" w:hAnsi="Verdana"/>
          <w:sz w:val="20"/>
          <w:szCs w:val="20"/>
        </w:rPr>
        <w:t xml:space="preserve">Toutes ces </w:t>
      </w:r>
      <w:r w:rsidRPr="00240EE9">
        <w:rPr>
          <w:rFonts w:ascii="Verdana" w:hAnsi="Verdana"/>
          <w:b/>
          <w:i/>
          <w:sz w:val="20"/>
          <w:szCs w:val="20"/>
        </w:rPr>
        <w:t>réformes</w:t>
      </w:r>
      <w:r w:rsidRPr="00D3300D">
        <w:rPr>
          <w:rFonts w:ascii="Verdana" w:hAnsi="Verdana"/>
          <w:sz w:val="20"/>
          <w:szCs w:val="20"/>
        </w:rPr>
        <w:t xml:space="preserve"> ne sont évidemment envisageables que dans le respect des engagements </w:t>
      </w:r>
      <w:r w:rsidR="005F362C" w:rsidRPr="00D3300D">
        <w:rPr>
          <w:rFonts w:ascii="Verdana" w:hAnsi="Verdana"/>
          <w:sz w:val="20"/>
          <w:szCs w:val="20"/>
        </w:rPr>
        <w:t xml:space="preserve">pris et dans </w:t>
      </w:r>
      <w:r w:rsidR="00266DD0" w:rsidRPr="00D3300D">
        <w:rPr>
          <w:rFonts w:ascii="Verdana" w:hAnsi="Verdana"/>
          <w:sz w:val="20"/>
          <w:szCs w:val="20"/>
        </w:rPr>
        <w:t>un</w:t>
      </w:r>
      <w:r w:rsidR="00CC2FC1" w:rsidRPr="00D3300D">
        <w:rPr>
          <w:rFonts w:ascii="Verdana" w:hAnsi="Verdana"/>
          <w:sz w:val="20"/>
          <w:szCs w:val="20"/>
        </w:rPr>
        <w:t xml:space="preserve"> traitement équitable de toutes l</w:t>
      </w:r>
      <w:r w:rsidR="00A741FF" w:rsidRPr="00D3300D">
        <w:rPr>
          <w:rFonts w:ascii="Verdana" w:hAnsi="Verdana"/>
          <w:sz w:val="20"/>
          <w:szCs w:val="20"/>
        </w:rPr>
        <w:t>es</w:t>
      </w:r>
      <w:r w:rsidR="00CC2FC1" w:rsidRPr="00D3300D">
        <w:rPr>
          <w:rFonts w:ascii="Verdana" w:hAnsi="Verdana"/>
          <w:sz w:val="20"/>
          <w:szCs w:val="20"/>
        </w:rPr>
        <w:t xml:space="preserve"> parties concernées. </w:t>
      </w:r>
      <w:r w:rsidR="002B730F" w:rsidRPr="00D3300D">
        <w:rPr>
          <w:rFonts w:ascii="Verdana" w:hAnsi="Verdana"/>
          <w:sz w:val="20"/>
          <w:szCs w:val="20"/>
        </w:rPr>
        <w:t xml:space="preserve">Dans </w:t>
      </w:r>
      <w:r w:rsidR="00A741FF" w:rsidRPr="00D3300D">
        <w:rPr>
          <w:rFonts w:ascii="Verdana" w:hAnsi="Verdana"/>
          <w:sz w:val="20"/>
          <w:szCs w:val="20"/>
        </w:rPr>
        <w:t xml:space="preserve">l’immédiat, le financement des bâtiments dans le cadre du plan de relance. Demain, </w:t>
      </w:r>
      <w:r w:rsidR="00CC3C1F" w:rsidRPr="00D3300D">
        <w:rPr>
          <w:rFonts w:ascii="Verdana" w:hAnsi="Verdana"/>
          <w:sz w:val="20"/>
          <w:szCs w:val="20"/>
        </w:rPr>
        <w:t>les échéances relatives aux subventions de fonctionnement.</w:t>
      </w:r>
    </w:p>
    <w:p w14:paraId="75C1B213" w14:textId="77777777" w:rsidR="00EB1EC1" w:rsidRPr="00D3300D" w:rsidRDefault="00CE6B75" w:rsidP="00EB1EC1">
      <w:pPr>
        <w:spacing w:line="240" w:lineRule="auto"/>
        <w:rPr>
          <w:rFonts w:ascii="Verdana" w:hAnsi="Verdana"/>
          <w:sz w:val="20"/>
          <w:szCs w:val="20"/>
        </w:rPr>
      </w:pPr>
      <w:r w:rsidRPr="00D3300D">
        <w:rPr>
          <w:rFonts w:ascii="Verdana" w:hAnsi="Verdana"/>
          <w:sz w:val="20"/>
          <w:szCs w:val="20"/>
        </w:rPr>
        <w:t xml:space="preserve">Si </w:t>
      </w:r>
      <w:r w:rsidR="000A3F7D" w:rsidRPr="00D3300D">
        <w:rPr>
          <w:rFonts w:ascii="Verdana" w:hAnsi="Verdana"/>
          <w:sz w:val="20"/>
          <w:szCs w:val="20"/>
        </w:rPr>
        <w:t xml:space="preserve">notre incompréhension est </w:t>
      </w:r>
      <w:r w:rsidR="00BE5C94" w:rsidRPr="00D3300D">
        <w:rPr>
          <w:rFonts w:ascii="Verdana" w:hAnsi="Verdana"/>
          <w:sz w:val="20"/>
          <w:szCs w:val="20"/>
        </w:rPr>
        <w:t>totale</w:t>
      </w:r>
      <w:r w:rsidR="003A65A1" w:rsidRPr="00D3300D">
        <w:rPr>
          <w:rFonts w:ascii="Verdana" w:hAnsi="Verdana"/>
          <w:sz w:val="20"/>
          <w:szCs w:val="20"/>
        </w:rPr>
        <w:t xml:space="preserve"> face aux orientations </w:t>
      </w:r>
      <w:r w:rsidR="00FC616C" w:rsidRPr="00D3300D">
        <w:rPr>
          <w:rFonts w:ascii="Verdana" w:hAnsi="Verdana"/>
          <w:sz w:val="20"/>
          <w:szCs w:val="20"/>
        </w:rPr>
        <w:t>dans lesquelles s</w:t>
      </w:r>
      <w:r w:rsidR="006337BE" w:rsidRPr="00D3300D">
        <w:rPr>
          <w:rFonts w:ascii="Verdana" w:hAnsi="Verdana"/>
          <w:sz w:val="20"/>
          <w:szCs w:val="20"/>
        </w:rPr>
        <w:t>emble s’être</w:t>
      </w:r>
      <w:r w:rsidR="00FC616C" w:rsidRPr="00D3300D">
        <w:rPr>
          <w:rFonts w:ascii="Verdana" w:hAnsi="Verdana"/>
          <w:sz w:val="20"/>
          <w:szCs w:val="20"/>
        </w:rPr>
        <w:t xml:space="preserve"> </w:t>
      </w:r>
      <w:r w:rsidR="00F87547" w:rsidRPr="00D3300D">
        <w:rPr>
          <w:rFonts w:ascii="Verdana" w:hAnsi="Verdana"/>
          <w:sz w:val="20"/>
          <w:szCs w:val="20"/>
        </w:rPr>
        <w:t xml:space="preserve">actuellement </w:t>
      </w:r>
      <w:r w:rsidR="00FC616C" w:rsidRPr="00D3300D">
        <w:rPr>
          <w:rFonts w:ascii="Verdana" w:hAnsi="Verdana"/>
          <w:sz w:val="20"/>
          <w:szCs w:val="20"/>
        </w:rPr>
        <w:t>engagé le gouvernement de la Fédération Wallonie-Bruxelle</w:t>
      </w:r>
      <w:r w:rsidR="006337BE" w:rsidRPr="00D3300D">
        <w:rPr>
          <w:rFonts w:ascii="Verdana" w:hAnsi="Verdana"/>
          <w:sz w:val="20"/>
          <w:szCs w:val="20"/>
        </w:rPr>
        <w:t xml:space="preserve">s, </w:t>
      </w:r>
      <w:r w:rsidR="002143A0" w:rsidRPr="00240EE9">
        <w:rPr>
          <w:rFonts w:ascii="Verdana" w:hAnsi="Verdana"/>
          <w:b/>
          <w:i/>
          <w:sz w:val="20"/>
          <w:szCs w:val="20"/>
        </w:rPr>
        <w:t>nous comptons sur vous</w:t>
      </w:r>
      <w:r w:rsidR="002143A0" w:rsidRPr="00D3300D">
        <w:rPr>
          <w:rFonts w:ascii="Verdana" w:hAnsi="Verdana"/>
          <w:sz w:val="20"/>
          <w:szCs w:val="20"/>
        </w:rPr>
        <w:t xml:space="preserve"> pour </w:t>
      </w:r>
      <w:r w:rsidR="00585068" w:rsidRPr="00D3300D">
        <w:rPr>
          <w:rFonts w:ascii="Verdana" w:hAnsi="Verdana"/>
          <w:sz w:val="20"/>
          <w:szCs w:val="20"/>
        </w:rPr>
        <w:t xml:space="preserve">vous faire l’écho de nos légitimes préoccupations </w:t>
      </w:r>
      <w:r w:rsidR="00A90223" w:rsidRPr="00D3300D">
        <w:rPr>
          <w:rFonts w:ascii="Verdana" w:hAnsi="Verdana"/>
          <w:sz w:val="20"/>
          <w:szCs w:val="20"/>
        </w:rPr>
        <w:t xml:space="preserve">et demandes </w:t>
      </w:r>
      <w:r w:rsidR="00585068" w:rsidRPr="00D3300D">
        <w:rPr>
          <w:rFonts w:ascii="Verdana" w:hAnsi="Verdana"/>
          <w:sz w:val="20"/>
          <w:szCs w:val="20"/>
        </w:rPr>
        <w:t xml:space="preserve">qui, nous n’en doutons pas, sont aussi les </w:t>
      </w:r>
      <w:r w:rsidR="000A04E3" w:rsidRPr="00D3300D">
        <w:rPr>
          <w:rFonts w:ascii="Verdana" w:hAnsi="Verdana"/>
          <w:sz w:val="20"/>
          <w:szCs w:val="20"/>
        </w:rPr>
        <w:t>vôtres</w:t>
      </w:r>
      <w:r w:rsidR="00A90223" w:rsidRPr="00D3300D">
        <w:rPr>
          <w:rFonts w:ascii="Verdana" w:hAnsi="Verdana"/>
          <w:sz w:val="20"/>
          <w:szCs w:val="20"/>
        </w:rPr>
        <w:t> :</w:t>
      </w:r>
    </w:p>
    <w:p w14:paraId="279BC4FA" w14:textId="075942B1" w:rsidR="00025591" w:rsidRPr="00D3300D" w:rsidRDefault="00C86A24" w:rsidP="00EB1EC1">
      <w:pPr>
        <w:pStyle w:val="Paragraphedeliste"/>
        <w:numPr>
          <w:ilvl w:val="0"/>
          <w:numId w:val="1"/>
        </w:numPr>
        <w:spacing w:line="240" w:lineRule="auto"/>
        <w:rPr>
          <w:rFonts w:ascii="Verdana" w:hAnsi="Verdana"/>
          <w:sz w:val="20"/>
          <w:szCs w:val="20"/>
        </w:rPr>
      </w:pPr>
      <w:r w:rsidRPr="00D3300D">
        <w:rPr>
          <w:rFonts w:ascii="Verdana" w:hAnsi="Verdana"/>
          <w:sz w:val="20"/>
          <w:szCs w:val="20"/>
        </w:rPr>
        <w:t>Répartir les budgets du plan de relance conformément à la clé</w:t>
      </w:r>
      <w:r w:rsidR="00EC2775" w:rsidRPr="00D3300D">
        <w:rPr>
          <w:rFonts w:ascii="Verdana" w:hAnsi="Verdana"/>
          <w:sz w:val="20"/>
          <w:szCs w:val="20"/>
        </w:rPr>
        <w:t xml:space="preserve"> « élèves » prévue au PPT</w:t>
      </w:r>
      <w:r w:rsidR="00C032ED" w:rsidRPr="00D3300D">
        <w:rPr>
          <w:rFonts w:ascii="Verdana" w:hAnsi="Verdana"/>
          <w:sz w:val="20"/>
          <w:szCs w:val="20"/>
        </w:rPr>
        <w:t>.</w:t>
      </w:r>
    </w:p>
    <w:p w14:paraId="093AD3DD" w14:textId="3D3B4106" w:rsidR="00A90223" w:rsidRPr="00D3300D" w:rsidRDefault="00575AAA" w:rsidP="00562196">
      <w:pPr>
        <w:pStyle w:val="Paragraphedeliste"/>
        <w:numPr>
          <w:ilvl w:val="0"/>
          <w:numId w:val="1"/>
        </w:numPr>
        <w:spacing w:line="240" w:lineRule="auto"/>
        <w:rPr>
          <w:rFonts w:ascii="Verdana" w:hAnsi="Verdana"/>
          <w:sz w:val="20"/>
          <w:szCs w:val="20"/>
        </w:rPr>
      </w:pPr>
      <w:r w:rsidRPr="00D3300D">
        <w:rPr>
          <w:rFonts w:ascii="Verdana" w:hAnsi="Verdana"/>
          <w:sz w:val="20"/>
          <w:szCs w:val="20"/>
        </w:rPr>
        <w:t xml:space="preserve">Mettre les </w:t>
      </w:r>
      <w:r w:rsidR="0056080B" w:rsidRPr="00D3300D">
        <w:rPr>
          <w:rFonts w:ascii="Verdana" w:hAnsi="Verdana"/>
          <w:sz w:val="20"/>
          <w:szCs w:val="20"/>
        </w:rPr>
        <w:t xml:space="preserve">subventions de fonctionnement </w:t>
      </w:r>
      <w:r w:rsidR="0008588B" w:rsidRPr="00D3300D">
        <w:rPr>
          <w:rFonts w:ascii="Verdana" w:hAnsi="Verdana"/>
          <w:sz w:val="20"/>
          <w:szCs w:val="20"/>
        </w:rPr>
        <w:t xml:space="preserve">en conformité avec </w:t>
      </w:r>
      <w:r w:rsidR="00BF45A4" w:rsidRPr="00D3300D">
        <w:rPr>
          <w:rFonts w:ascii="Verdana" w:hAnsi="Verdana"/>
          <w:sz w:val="20"/>
          <w:szCs w:val="20"/>
        </w:rPr>
        <w:t>l</w:t>
      </w:r>
      <w:r w:rsidR="00F476CE" w:rsidRPr="00D3300D">
        <w:rPr>
          <w:rFonts w:ascii="Verdana" w:hAnsi="Verdana"/>
          <w:sz w:val="20"/>
          <w:szCs w:val="20"/>
        </w:rPr>
        <w:t>a Constitution</w:t>
      </w:r>
      <w:r w:rsidR="00BF45A4" w:rsidRPr="00D3300D">
        <w:rPr>
          <w:rFonts w:ascii="Verdana" w:hAnsi="Verdana"/>
          <w:sz w:val="20"/>
          <w:szCs w:val="20"/>
        </w:rPr>
        <w:t xml:space="preserve"> pour tous les réseaux d’enseignement</w:t>
      </w:r>
      <w:r w:rsidR="00F476CE" w:rsidRPr="00D3300D">
        <w:rPr>
          <w:rFonts w:ascii="Verdana" w:hAnsi="Verdana"/>
          <w:sz w:val="20"/>
          <w:szCs w:val="20"/>
        </w:rPr>
        <w:t xml:space="preserve">, </w:t>
      </w:r>
      <w:r w:rsidR="007264FA" w:rsidRPr="00D3300D">
        <w:rPr>
          <w:rFonts w:ascii="Verdana" w:hAnsi="Verdana"/>
          <w:sz w:val="20"/>
          <w:szCs w:val="20"/>
        </w:rPr>
        <w:t xml:space="preserve">conformément </w:t>
      </w:r>
      <w:r w:rsidR="005907D4" w:rsidRPr="00D3300D">
        <w:rPr>
          <w:rFonts w:ascii="Verdana" w:hAnsi="Verdana"/>
          <w:sz w:val="20"/>
          <w:szCs w:val="20"/>
        </w:rPr>
        <w:t xml:space="preserve">à l’arrêt rendu en 2020 par la Cour constitutionnelle. </w:t>
      </w:r>
    </w:p>
    <w:p w14:paraId="0D7C63BE" w14:textId="30A440F5" w:rsidR="007E7CCB" w:rsidRPr="00D3300D" w:rsidRDefault="00A36437" w:rsidP="00562196">
      <w:pPr>
        <w:spacing w:line="240" w:lineRule="auto"/>
        <w:rPr>
          <w:rFonts w:ascii="Verdana" w:hAnsi="Verdana"/>
          <w:sz w:val="20"/>
          <w:szCs w:val="20"/>
        </w:rPr>
      </w:pPr>
      <w:r w:rsidRPr="00D3300D">
        <w:rPr>
          <w:rFonts w:ascii="Verdana" w:hAnsi="Verdana"/>
          <w:sz w:val="20"/>
          <w:szCs w:val="20"/>
        </w:rPr>
        <w:t>N</w:t>
      </w:r>
      <w:r w:rsidR="00095F52" w:rsidRPr="00D3300D">
        <w:rPr>
          <w:rFonts w:ascii="Verdana" w:hAnsi="Verdana"/>
          <w:sz w:val="20"/>
          <w:szCs w:val="20"/>
        </w:rPr>
        <w:t>ous nous tenons à votre</w:t>
      </w:r>
      <w:r w:rsidR="001542EC" w:rsidRPr="00D3300D">
        <w:rPr>
          <w:rFonts w:ascii="Verdana" w:hAnsi="Verdana"/>
          <w:sz w:val="20"/>
          <w:szCs w:val="20"/>
        </w:rPr>
        <w:t xml:space="preserve"> </w:t>
      </w:r>
      <w:r w:rsidR="00095F52" w:rsidRPr="00D3300D">
        <w:rPr>
          <w:rFonts w:ascii="Verdana" w:hAnsi="Verdana"/>
          <w:sz w:val="20"/>
          <w:szCs w:val="20"/>
        </w:rPr>
        <w:t xml:space="preserve">disposition pour </w:t>
      </w:r>
      <w:r w:rsidR="00A8335A" w:rsidRPr="00D3300D">
        <w:rPr>
          <w:rFonts w:ascii="Verdana" w:hAnsi="Verdana"/>
          <w:sz w:val="20"/>
          <w:szCs w:val="20"/>
        </w:rPr>
        <w:t>échanger avec vous de vive voix à propos de ces sujets qui nous préoccupent au plus haut point</w:t>
      </w:r>
      <w:r w:rsidRPr="00D3300D">
        <w:rPr>
          <w:rFonts w:ascii="Verdana" w:hAnsi="Verdana"/>
          <w:sz w:val="20"/>
          <w:szCs w:val="20"/>
        </w:rPr>
        <w:t xml:space="preserve"> et</w:t>
      </w:r>
      <w:r w:rsidR="00AE3F3D" w:rsidRPr="00D3300D">
        <w:rPr>
          <w:rFonts w:ascii="Verdana" w:hAnsi="Verdana"/>
          <w:sz w:val="20"/>
          <w:szCs w:val="20"/>
        </w:rPr>
        <w:t xml:space="preserve"> </w:t>
      </w:r>
      <w:r w:rsidR="007D5171" w:rsidRPr="00D3300D">
        <w:rPr>
          <w:rFonts w:ascii="Verdana" w:hAnsi="Verdana"/>
          <w:sz w:val="20"/>
          <w:szCs w:val="20"/>
        </w:rPr>
        <w:t>pouvons également vous faire parvenir un</w:t>
      </w:r>
      <w:r w:rsidR="00EC2083" w:rsidRPr="00D3300D">
        <w:rPr>
          <w:rFonts w:ascii="Verdana" w:hAnsi="Verdana"/>
          <w:sz w:val="20"/>
          <w:szCs w:val="20"/>
        </w:rPr>
        <w:t xml:space="preserve"> </w:t>
      </w:r>
      <w:r w:rsidR="001A4857" w:rsidRPr="00D3300D">
        <w:rPr>
          <w:rFonts w:ascii="Verdana" w:hAnsi="Verdana"/>
          <w:sz w:val="20"/>
          <w:szCs w:val="20"/>
        </w:rPr>
        <w:t xml:space="preserve">argumentaire </w:t>
      </w:r>
      <w:r w:rsidRPr="00D3300D">
        <w:rPr>
          <w:rFonts w:ascii="Verdana" w:hAnsi="Verdana"/>
          <w:sz w:val="20"/>
          <w:szCs w:val="20"/>
        </w:rPr>
        <w:t xml:space="preserve">plus complet sur demande. </w:t>
      </w:r>
      <w:r w:rsidR="00EC2083" w:rsidRPr="00D3300D">
        <w:rPr>
          <w:rFonts w:ascii="Verdana" w:hAnsi="Verdana"/>
          <w:sz w:val="20"/>
          <w:szCs w:val="20"/>
        </w:rPr>
        <w:t xml:space="preserve"> </w:t>
      </w:r>
    </w:p>
    <w:p w14:paraId="75ADB46C" w14:textId="56826BDA" w:rsidR="000A04E3" w:rsidRPr="00D3300D" w:rsidRDefault="00A36437" w:rsidP="00562196">
      <w:pPr>
        <w:spacing w:line="240" w:lineRule="auto"/>
        <w:rPr>
          <w:rFonts w:ascii="Verdana" w:hAnsi="Verdana"/>
          <w:sz w:val="20"/>
          <w:szCs w:val="20"/>
        </w:rPr>
      </w:pPr>
      <w:r w:rsidRPr="00D3300D">
        <w:rPr>
          <w:rFonts w:ascii="Verdana" w:hAnsi="Verdana"/>
          <w:sz w:val="20"/>
          <w:szCs w:val="20"/>
        </w:rPr>
        <w:t xml:space="preserve">En vous souhaitant une bonne réception de la présente, </w:t>
      </w:r>
      <w:r w:rsidR="007E7CCB" w:rsidRPr="00D3300D">
        <w:rPr>
          <w:rFonts w:ascii="Verdana" w:hAnsi="Verdana"/>
          <w:sz w:val="20"/>
          <w:szCs w:val="20"/>
        </w:rPr>
        <w:t>nous</w:t>
      </w:r>
      <w:r w:rsidR="00C032ED" w:rsidRPr="00D3300D">
        <w:rPr>
          <w:rFonts w:ascii="Verdana" w:hAnsi="Verdana"/>
          <w:sz w:val="20"/>
          <w:szCs w:val="20"/>
        </w:rPr>
        <w:t xml:space="preserve"> </w:t>
      </w:r>
      <w:r w:rsidR="000A04E3" w:rsidRPr="00D3300D">
        <w:rPr>
          <w:rFonts w:ascii="Verdana" w:hAnsi="Verdana"/>
          <w:sz w:val="20"/>
          <w:szCs w:val="20"/>
        </w:rPr>
        <w:t>vous prions de croire, M</w:t>
      </w:r>
      <w:r w:rsidR="00E42BFF" w:rsidRPr="00D3300D">
        <w:rPr>
          <w:rFonts w:ascii="Verdana" w:hAnsi="Verdana"/>
          <w:sz w:val="20"/>
          <w:szCs w:val="20"/>
        </w:rPr>
        <w:t>adame</w:t>
      </w:r>
      <w:r w:rsidR="000A04E3" w:rsidRPr="00D3300D">
        <w:rPr>
          <w:rFonts w:ascii="Verdana" w:hAnsi="Verdana"/>
          <w:sz w:val="20"/>
          <w:szCs w:val="20"/>
        </w:rPr>
        <w:t xml:space="preserve"> l</w:t>
      </w:r>
      <w:r w:rsidR="00E42BFF" w:rsidRPr="00D3300D">
        <w:rPr>
          <w:rFonts w:ascii="Verdana" w:hAnsi="Verdana"/>
          <w:sz w:val="20"/>
          <w:szCs w:val="20"/>
        </w:rPr>
        <w:t>a</w:t>
      </w:r>
      <w:r w:rsidR="000A04E3" w:rsidRPr="00D3300D">
        <w:rPr>
          <w:rFonts w:ascii="Verdana" w:hAnsi="Verdana"/>
          <w:sz w:val="20"/>
          <w:szCs w:val="20"/>
        </w:rPr>
        <w:t xml:space="preserve"> Député</w:t>
      </w:r>
      <w:r w:rsidR="00E42BFF" w:rsidRPr="00D3300D">
        <w:rPr>
          <w:rFonts w:ascii="Verdana" w:hAnsi="Verdana"/>
          <w:sz w:val="20"/>
          <w:szCs w:val="20"/>
        </w:rPr>
        <w:t>e</w:t>
      </w:r>
      <w:r w:rsidR="000A04E3" w:rsidRPr="00D3300D">
        <w:rPr>
          <w:rFonts w:ascii="Verdana" w:hAnsi="Verdana"/>
          <w:sz w:val="20"/>
          <w:szCs w:val="20"/>
        </w:rPr>
        <w:t>, M</w:t>
      </w:r>
      <w:r w:rsidR="00E42BFF" w:rsidRPr="00D3300D">
        <w:rPr>
          <w:rFonts w:ascii="Verdana" w:hAnsi="Verdana"/>
          <w:sz w:val="20"/>
          <w:szCs w:val="20"/>
        </w:rPr>
        <w:t>onsieur le Député, en l’expression de nos sentiments les meilleurs.</w:t>
      </w:r>
    </w:p>
    <w:p w14:paraId="449C3E78" w14:textId="39156B51" w:rsidR="00E42BFF" w:rsidRPr="00D3300D" w:rsidRDefault="00E42BFF" w:rsidP="00562196">
      <w:pPr>
        <w:spacing w:line="240" w:lineRule="auto"/>
        <w:rPr>
          <w:rFonts w:ascii="Verdana" w:hAnsi="Verdana"/>
          <w:color w:val="FF0000"/>
          <w:sz w:val="20"/>
          <w:szCs w:val="20"/>
        </w:rPr>
      </w:pPr>
    </w:p>
    <w:p w14:paraId="05C2E795" w14:textId="5C2DA262" w:rsidR="00E42BFF" w:rsidRPr="00D3300D" w:rsidRDefault="00E42BFF" w:rsidP="00562196">
      <w:pPr>
        <w:spacing w:line="240" w:lineRule="auto"/>
        <w:rPr>
          <w:rFonts w:ascii="Verdana" w:hAnsi="Verdana"/>
          <w:color w:val="FF0000"/>
          <w:sz w:val="20"/>
          <w:szCs w:val="20"/>
        </w:rPr>
      </w:pPr>
      <w:r w:rsidRPr="00D3300D">
        <w:rPr>
          <w:rFonts w:ascii="Verdana" w:hAnsi="Verdana"/>
          <w:color w:val="FF0000"/>
          <w:sz w:val="20"/>
          <w:szCs w:val="20"/>
        </w:rPr>
        <w:t>Pour l’</w:t>
      </w:r>
      <w:r w:rsidR="000751F4" w:rsidRPr="00D3300D">
        <w:rPr>
          <w:rFonts w:ascii="Verdana" w:hAnsi="Verdana"/>
          <w:color w:val="FF0000"/>
          <w:sz w:val="20"/>
          <w:szCs w:val="20"/>
        </w:rPr>
        <w:t>I</w:t>
      </w:r>
      <w:r w:rsidRPr="00D3300D">
        <w:rPr>
          <w:rFonts w:ascii="Verdana" w:hAnsi="Verdana"/>
          <w:color w:val="FF0000"/>
          <w:sz w:val="20"/>
          <w:szCs w:val="20"/>
        </w:rPr>
        <w:t>n</w:t>
      </w:r>
      <w:r w:rsidR="00FF2EB3" w:rsidRPr="00D3300D">
        <w:rPr>
          <w:rFonts w:ascii="Verdana" w:hAnsi="Verdana"/>
          <w:color w:val="FF0000"/>
          <w:sz w:val="20"/>
          <w:szCs w:val="20"/>
        </w:rPr>
        <w:t>stitut Saint-…</w:t>
      </w:r>
    </w:p>
    <w:p w14:paraId="0F4A4632" w14:textId="2F739933" w:rsidR="00FF2EB3" w:rsidRPr="00D3300D" w:rsidRDefault="00FF2EB3" w:rsidP="00562196">
      <w:pPr>
        <w:spacing w:line="240" w:lineRule="auto"/>
        <w:rPr>
          <w:rFonts w:ascii="Verdana" w:hAnsi="Verdana"/>
          <w:color w:val="FF0000"/>
          <w:sz w:val="20"/>
          <w:szCs w:val="20"/>
        </w:rPr>
      </w:pPr>
    </w:p>
    <w:p w14:paraId="00C8F360" w14:textId="548C4928" w:rsidR="00FF2EB3" w:rsidRPr="00D3300D" w:rsidRDefault="00FF2EB3" w:rsidP="00FF2EB3">
      <w:pPr>
        <w:spacing w:line="240" w:lineRule="auto"/>
        <w:rPr>
          <w:rFonts w:ascii="Verdana" w:hAnsi="Verdana"/>
          <w:color w:val="FF0000"/>
          <w:sz w:val="20"/>
          <w:szCs w:val="20"/>
        </w:rPr>
      </w:pPr>
      <w:r w:rsidRPr="00D3300D">
        <w:rPr>
          <w:rFonts w:ascii="Verdana" w:hAnsi="Verdana"/>
          <w:color w:val="FF0000"/>
          <w:sz w:val="20"/>
          <w:szCs w:val="20"/>
        </w:rPr>
        <w:t xml:space="preserve">X    </w:t>
      </w:r>
      <w:r w:rsidR="009F6293">
        <w:rPr>
          <w:rFonts w:ascii="Verdana" w:hAnsi="Verdana"/>
          <w:color w:val="FF0000"/>
          <w:sz w:val="20"/>
          <w:szCs w:val="20"/>
        </w:rPr>
        <w:tab/>
      </w:r>
      <w:r w:rsidR="009F6293">
        <w:rPr>
          <w:rFonts w:ascii="Verdana" w:hAnsi="Verdana"/>
          <w:color w:val="FF0000"/>
          <w:sz w:val="20"/>
          <w:szCs w:val="20"/>
        </w:rPr>
        <w:tab/>
      </w:r>
      <w:r w:rsidR="009F6293">
        <w:rPr>
          <w:rFonts w:ascii="Verdana" w:hAnsi="Verdana"/>
          <w:color w:val="FF0000"/>
          <w:sz w:val="20"/>
          <w:szCs w:val="20"/>
        </w:rPr>
        <w:tab/>
      </w:r>
      <w:r w:rsidR="009F6293">
        <w:rPr>
          <w:rFonts w:ascii="Verdana" w:hAnsi="Verdana"/>
          <w:color w:val="FF0000"/>
          <w:sz w:val="20"/>
          <w:szCs w:val="20"/>
        </w:rPr>
        <w:tab/>
      </w:r>
      <w:r w:rsidR="009F6293">
        <w:rPr>
          <w:rFonts w:ascii="Verdana" w:hAnsi="Verdana"/>
          <w:color w:val="FF0000"/>
          <w:sz w:val="20"/>
          <w:szCs w:val="20"/>
        </w:rPr>
        <w:tab/>
      </w:r>
      <w:r w:rsidR="009F6293">
        <w:rPr>
          <w:rFonts w:ascii="Verdana" w:hAnsi="Verdana"/>
          <w:color w:val="FF0000"/>
          <w:sz w:val="20"/>
          <w:szCs w:val="20"/>
        </w:rPr>
        <w:tab/>
      </w:r>
      <w:r w:rsidR="009F6293">
        <w:rPr>
          <w:rFonts w:ascii="Verdana" w:hAnsi="Verdana"/>
          <w:color w:val="FF0000"/>
          <w:sz w:val="20"/>
          <w:szCs w:val="20"/>
        </w:rPr>
        <w:tab/>
      </w:r>
      <w:r w:rsidR="009F6293">
        <w:rPr>
          <w:rFonts w:ascii="Verdana" w:hAnsi="Verdana"/>
          <w:color w:val="FF0000"/>
          <w:sz w:val="20"/>
          <w:szCs w:val="20"/>
        </w:rPr>
        <w:tab/>
      </w:r>
      <w:r w:rsidR="009F6293">
        <w:rPr>
          <w:rFonts w:ascii="Verdana" w:hAnsi="Verdana"/>
          <w:color w:val="FF0000"/>
          <w:sz w:val="20"/>
          <w:szCs w:val="20"/>
        </w:rPr>
        <w:tab/>
        <w:t>Y</w:t>
      </w:r>
      <w:r w:rsidRPr="00D3300D">
        <w:rPr>
          <w:rFonts w:ascii="Verdana" w:hAnsi="Verdana"/>
          <w:color w:val="FF0000"/>
          <w:sz w:val="20"/>
          <w:szCs w:val="20"/>
        </w:rPr>
        <w:t xml:space="preserve">                                                                                                                                    </w:t>
      </w:r>
    </w:p>
    <w:p w14:paraId="40B0885E" w14:textId="4F6C5151" w:rsidR="00FF2EB3" w:rsidRPr="00D3300D" w:rsidRDefault="00FF2EB3" w:rsidP="00562196">
      <w:pPr>
        <w:spacing w:line="240" w:lineRule="auto"/>
        <w:rPr>
          <w:rFonts w:ascii="Verdana" w:hAnsi="Verdana"/>
          <w:color w:val="FF0000"/>
          <w:sz w:val="20"/>
          <w:szCs w:val="20"/>
        </w:rPr>
      </w:pPr>
    </w:p>
    <w:p w14:paraId="09788218" w14:textId="619129A9" w:rsidR="00FF2EB3" w:rsidRPr="00D3300D" w:rsidRDefault="00FF2EB3" w:rsidP="00562196">
      <w:pPr>
        <w:spacing w:line="240" w:lineRule="auto"/>
        <w:rPr>
          <w:rFonts w:ascii="Verdana" w:hAnsi="Verdana"/>
          <w:color w:val="FF0000"/>
          <w:sz w:val="20"/>
          <w:szCs w:val="20"/>
        </w:rPr>
      </w:pPr>
      <w:r w:rsidRPr="00D3300D">
        <w:rPr>
          <w:rFonts w:ascii="Verdana" w:hAnsi="Verdana"/>
          <w:color w:val="FF0000"/>
          <w:sz w:val="20"/>
          <w:szCs w:val="20"/>
        </w:rPr>
        <w:t xml:space="preserve">Directeur </w:t>
      </w:r>
      <w:r w:rsidR="009F6293">
        <w:rPr>
          <w:rFonts w:ascii="Verdana" w:hAnsi="Verdana"/>
          <w:color w:val="FF0000"/>
          <w:sz w:val="20"/>
          <w:szCs w:val="20"/>
        </w:rPr>
        <w:tab/>
      </w:r>
      <w:r w:rsidR="009F6293">
        <w:rPr>
          <w:rFonts w:ascii="Verdana" w:hAnsi="Verdana"/>
          <w:color w:val="FF0000"/>
          <w:sz w:val="20"/>
          <w:szCs w:val="20"/>
        </w:rPr>
        <w:tab/>
      </w:r>
      <w:r w:rsidR="009F6293">
        <w:rPr>
          <w:rFonts w:ascii="Verdana" w:hAnsi="Verdana"/>
          <w:color w:val="FF0000"/>
          <w:sz w:val="20"/>
          <w:szCs w:val="20"/>
        </w:rPr>
        <w:tab/>
      </w:r>
      <w:r w:rsidR="009F6293">
        <w:rPr>
          <w:rFonts w:ascii="Verdana" w:hAnsi="Verdana"/>
          <w:color w:val="FF0000"/>
          <w:sz w:val="20"/>
          <w:szCs w:val="20"/>
        </w:rPr>
        <w:tab/>
      </w:r>
      <w:r w:rsidR="009F6293">
        <w:rPr>
          <w:rFonts w:ascii="Verdana" w:hAnsi="Verdana"/>
          <w:color w:val="FF0000"/>
          <w:sz w:val="20"/>
          <w:szCs w:val="20"/>
        </w:rPr>
        <w:tab/>
      </w:r>
      <w:r w:rsidR="009F6293">
        <w:rPr>
          <w:rFonts w:ascii="Verdana" w:hAnsi="Verdana"/>
          <w:color w:val="FF0000"/>
          <w:sz w:val="20"/>
          <w:szCs w:val="20"/>
        </w:rPr>
        <w:tab/>
      </w:r>
      <w:r w:rsidR="009F6293">
        <w:rPr>
          <w:rFonts w:ascii="Verdana" w:hAnsi="Verdana"/>
          <w:color w:val="FF0000"/>
          <w:sz w:val="20"/>
          <w:szCs w:val="20"/>
        </w:rPr>
        <w:tab/>
      </w:r>
      <w:r w:rsidR="009F6293">
        <w:rPr>
          <w:rFonts w:ascii="Verdana" w:hAnsi="Verdana"/>
          <w:color w:val="FF0000"/>
          <w:sz w:val="20"/>
          <w:szCs w:val="20"/>
        </w:rPr>
        <w:tab/>
      </w:r>
      <w:r w:rsidRPr="00D3300D">
        <w:rPr>
          <w:rFonts w:ascii="Verdana" w:hAnsi="Verdana"/>
          <w:color w:val="FF0000"/>
          <w:sz w:val="20"/>
          <w:szCs w:val="20"/>
        </w:rPr>
        <w:t>Président du PO</w:t>
      </w:r>
    </w:p>
    <w:p w14:paraId="1866E744" w14:textId="77777777" w:rsidR="005E7E43" w:rsidRPr="00D3300D" w:rsidRDefault="005E7E43" w:rsidP="00562196">
      <w:pPr>
        <w:spacing w:line="240" w:lineRule="auto"/>
        <w:rPr>
          <w:rFonts w:ascii="Verdana" w:hAnsi="Verdana"/>
          <w:sz w:val="20"/>
          <w:szCs w:val="20"/>
        </w:rPr>
      </w:pPr>
    </w:p>
    <w:p w14:paraId="683371B6" w14:textId="77777777" w:rsidR="00AC4380" w:rsidRPr="00D3300D" w:rsidRDefault="00AC4380" w:rsidP="00AC4380">
      <w:pPr>
        <w:rPr>
          <w:rFonts w:ascii="Verdana" w:hAnsi="Verdana"/>
          <w:sz w:val="20"/>
          <w:szCs w:val="20"/>
        </w:rPr>
      </w:pPr>
    </w:p>
    <w:sectPr w:rsidR="00AC4380" w:rsidRPr="00D330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1DF7C" w14:textId="77777777" w:rsidR="00CF63B1" w:rsidRDefault="00CF63B1" w:rsidP="000751F4">
      <w:pPr>
        <w:spacing w:after="0" w:line="240" w:lineRule="auto"/>
      </w:pPr>
      <w:r>
        <w:separator/>
      </w:r>
    </w:p>
  </w:endnote>
  <w:endnote w:type="continuationSeparator" w:id="0">
    <w:p w14:paraId="74C7AA10" w14:textId="77777777" w:rsidR="00CF63B1" w:rsidRDefault="00CF63B1" w:rsidP="0007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11262"/>
      <w:docPartObj>
        <w:docPartGallery w:val="Page Numbers (Bottom of Page)"/>
        <w:docPartUnique/>
      </w:docPartObj>
    </w:sdtPr>
    <w:sdtEndPr/>
    <w:sdtContent>
      <w:p w14:paraId="767808CA" w14:textId="01A6F501" w:rsidR="00A26C55" w:rsidRDefault="00A26C55">
        <w:pPr>
          <w:pStyle w:val="Pieddepage"/>
          <w:jc w:val="center"/>
        </w:pPr>
        <w:r>
          <w:fldChar w:fldCharType="begin"/>
        </w:r>
        <w:r>
          <w:instrText>PAGE   \* MERGEFORMAT</w:instrText>
        </w:r>
        <w:r>
          <w:fldChar w:fldCharType="separate"/>
        </w:r>
        <w:r>
          <w:rPr>
            <w:lang w:val="fr-FR"/>
          </w:rPr>
          <w:t>2</w:t>
        </w:r>
        <w:r>
          <w:fldChar w:fldCharType="end"/>
        </w:r>
      </w:p>
    </w:sdtContent>
  </w:sdt>
  <w:p w14:paraId="48EAD940" w14:textId="77777777" w:rsidR="00A26C55" w:rsidRDefault="00A26C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88F14" w14:textId="77777777" w:rsidR="00CF63B1" w:rsidRDefault="00CF63B1" w:rsidP="000751F4">
      <w:pPr>
        <w:spacing w:after="0" w:line="240" w:lineRule="auto"/>
      </w:pPr>
      <w:r>
        <w:separator/>
      </w:r>
    </w:p>
  </w:footnote>
  <w:footnote w:type="continuationSeparator" w:id="0">
    <w:p w14:paraId="70C52E4D" w14:textId="77777777" w:rsidR="00CF63B1" w:rsidRDefault="00CF63B1" w:rsidP="00075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5055C"/>
    <w:multiLevelType w:val="hybridMultilevel"/>
    <w:tmpl w:val="0E1C9F70"/>
    <w:lvl w:ilvl="0" w:tplc="9810083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80"/>
    <w:rsid w:val="0000480A"/>
    <w:rsid w:val="00023496"/>
    <w:rsid w:val="00025591"/>
    <w:rsid w:val="00044AD9"/>
    <w:rsid w:val="0007143E"/>
    <w:rsid w:val="000751F4"/>
    <w:rsid w:val="0008588B"/>
    <w:rsid w:val="00095F52"/>
    <w:rsid w:val="000A04E3"/>
    <w:rsid w:val="000A2E9D"/>
    <w:rsid w:val="000A310B"/>
    <w:rsid w:val="000A3F7D"/>
    <w:rsid w:val="000B6149"/>
    <w:rsid w:val="000C27CE"/>
    <w:rsid w:val="000C6D03"/>
    <w:rsid w:val="000D0871"/>
    <w:rsid w:val="000D4C19"/>
    <w:rsid w:val="000D5D6E"/>
    <w:rsid w:val="000E1728"/>
    <w:rsid w:val="000E3989"/>
    <w:rsid w:val="000E4A0D"/>
    <w:rsid w:val="000E76E0"/>
    <w:rsid w:val="000F2272"/>
    <w:rsid w:val="00103A1B"/>
    <w:rsid w:val="001043CB"/>
    <w:rsid w:val="00133CE5"/>
    <w:rsid w:val="00134498"/>
    <w:rsid w:val="0014024D"/>
    <w:rsid w:val="00150BC2"/>
    <w:rsid w:val="001542EC"/>
    <w:rsid w:val="00180FAF"/>
    <w:rsid w:val="00182DB8"/>
    <w:rsid w:val="0019653A"/>
    <w:rsid w:val="001A4857"/>
    <w:rsid w:val="001B5B9F"/>
    <w:rsid w:val="001E5A2E"/>
    <w:rsid w:val="001F17A8"/>
    <w:rsid w:val="002143A0"/>
    <w:rsid w:val="00240EE9"/>
    <w:rsid w:val="002423B0"/>
    <w:rsid w:val="00253E2D"/>
    <w:rsid w:val="00254BA2"/>
    <w:rsid w:val="00256B32"/>
    <w:rsid w:val="00256DA4"/>
    <w:rsid w:val="00266DD0"/>
    <w:rsid w:val="00273775"/>
    <w:rsid w:val="002A6BC2"/>
    <w:rsid w:val="002B730F"/>
    <w:rsid w:val="002C1825"/>
    <w:rsid w:val="002D09AB"/>
    <w:rsid w:val="002E6494"/>
    <w:rsid w:val="002E7E51"/>
    <w:rsid w:val="002F1DAE"/>
    <w:rsid w:val="003154F4"/>
    <w:rsid w:val="00351A0F"/>
    <w:rsid w:val="0035392F"/>
    <w:rsid w:val="00357312"/>
    <w:rsid w:val="003573CB"/>
    <w:rsid w:val="003725CA"/>
    <w:rsid w:val="00390008"/>
    <w:rsid w:val="003A65A1"/>
    <w:rsid w:val="003D3EDE"/>
    <w:rsid w:val="003D5386"/>
    <w:rsid w:val="003E64F2"/>
    <w:rsid w:val="003F3237"/>
    <w:rsid w:val="0040701D"/>
    <w:rsid w:val="00416688"/>
    <w:rsid w:val="00423E7F"/>
    <w:rsid w:val="00455216"/>
    <w:rsid w:val="0046602B"/>
    <w:rsid w:val="004A6128"/>
    <w:rsid w:val="004A61DD"/>
    <w:rsid w:val="004C2CE9"/>
    <w:rsid w:val="004D3374"/>
    <w:rsid w:val="004D3698"/>
    <w:rsid w:val="004D71E2"/>
    <w:rsid w:val="004D7509"/>
    <w:rsid w:val="004F3900"/>
    <w:rsid w:val="004F611C"/>
    <w:rsid w:val="00520AFC"/>
    <w:rsid w:val="00522350"/>
    <w:rsid w:val="005447E7"/>
    <w:rsid w:val="00544B96"/>
    <w:rsid w:val="0056080B"/>
    <w:rsid w:val="00562196"/>
    <w:rsid w:val="00571037"/>
    <w:rsid w:val="00575AAA"/>
    <w:rsid w:val="00585068"/>
    <w:rsid w:val="005907D4"/>
    <w:rsid w:val="0059476F"/>
    <w:rsid w:val="00595C36"/>
    <w:rsid w:val="005B2F8E"/>
    <w:rsid w:val="005B72D0"/>
    <w:rsid w:val="005D1D78"/>
    <w:rsid w:val="005E1891"/>
    <w:rsid w:val="005E3632"/>
    <w:rsid w:val="005E3814"/>
    <w:rsid w:val="005E7E43"/>
    <w:rsid w:val="005F362C"/>
    <w:rsid w:val="005F5A0E"/>
    <w:rsid w:val="00611D98"/>
    <w:rsid w:val="00616C63"/>
    <w:rsid w:val="006337BE"/>
    <w:rsid w:val="00637169"/>
    <w:rsid w:val="0065661A"/>
    <w:rsid w:val="00660E8C"/>
    <w:rsid w:val="006903DC"/>
    <w:rsid w:val="006907A2"/>
    <w:rsid w:val="0069415F"/>
    <w:rsid w:val="006A3F19"/>
    <w:rsid w:val="006B49FC"/>
    <w:rsid w:val="006D055C"/>
    <w:rsid w:val="006E2FA1"/>
    <w:rsid w:val="006F3107"/>
    <w:rsid w:val="006F4129"/>
    <w:rsid w:val="00701078"/>
    <w:rsid w:val="00714DC2"/>
    <w:rsid w:val="007264FA"/>
    <w:rsid w:val="00732644"/>
    <w:rsid w:val="007368D5"/>
    <w:rsid w:val="00736CD8"/>
    <w:rsid w:val="00747792"/>
    <w:rsid w:val="00762603"/>
    <w:rsid w:val="00764F6B"/>
    <w:rsid w:val="0077535E"/>
    <w:rsid w:val="00776318"/>
    <w:rsid w:val="00797D98"/>
    <w:rsid w:val="007A2FD2"/>
    <w:rsid w:val="007C07C6"/>
    <w:rsid w:val="007C385D"/>
    <w:rsid w:val="007D5171"/>
    <w:rsid w:val="007E7CCB"/>
    <w:rsid w:val="007F1C28"/>
    <w:rsid w:val="00802A82"/>
    <w:rsid w:val="00824817"/>
    <w:rsid w:val="00864CB9"/>
    <w:rsid w:val="00865D16"/>
    <w:rsid w:val="008906AA"/>
    <w:rsid w:val="0089439F"/>
    <w:rsid w:val="00894B1F"/>
    <w:rsid w:val="008A5AE5"/>
    <w:rsid w:val="008B086A"/>
    <w:rsid w:val="008C3EBC"/>
    <w:rsid w:val="008F2E13"/>
    <w:rsid w:val="00923B60"/>
    <w:rsid w:val="00944CB7"/>
    <w:rsid w:val="00953828"/>
    <w:rsid w:val="009644A5"/>
    <w:rsid w:val="0099141B"/>
    <w:rsid w:val="009A0B24"/>
    <w:rsid w:val="009B0BAA"/>
    <w:rsid w:val="009C3022"/>
    <w:rsid w:val="009F6293"/>
    <w:rsid w:val="00A076AE"/>
    <w:rsid w:val="00A20E8D"/>
    <w:rsid w:val="00A26C55"/>
    <w:rsid w:val="00A36437"/>
    <w:rsid w:val="00A36D89"/>
    <w:rsid w:val="00A72511"/>
    <w:rsid w:val="00A741FF"/>
    <w:rsid w:val="00A77F6D"/>
    <w:rsid w:val="00A8335A"/>
    <w:rsid w:val="00A85DD0"/>
    <w:rsid w:val="00A90223"/>
    <w:rsid w:val="00A9368A"/>
    <w:rsid w:val="00AC4365"/>
    <w:rsid w:val="00AC4380"/>
    <w:rsid w:val="00AD2B0C"/>
    <w:rsid w:val="00AE0A3D"/>
    <w:rsid w:val="00AE25FD"/>
    <w:rsid w:val="00AE3F3D"/>
    <w:rsid w:val="00AF0404"/>
    <w:rsid w:val="00B37551"/>
    <w:rsid w:val="00B669F8"/>
    <w:rsid w:val="00B80CEF"/>
    <w:rsid w:val="00BA75A7"/>
    <w:rsid w:val="00BB3A5C"/>
    <w:rsid w:val="00BD50EF"/>
    <w:rsid w:val="00BE5C94"/>
    <w:rsid w:val="00BF45A4"/>
    <w:rsid w:val="00C02A7A"/>
    <w:rsid w:val="00C032ED"/>
    <w:rsid w:val="00C03D1D"/>
    <w:rsid w:val="00C27B0D"/>
    <w:rsid w:val="00C54E85"/>
    <w:rsid w:val="00C57135"/>
    <w:rsid w:val="00C86A24"/>
    <w:rsid w:val="00CA658C"/>
    <w:rsid w:val="00CB1A6D"/>
    <w:rsid w:val="00CB330F"/>
    <w:rsid w:val="00CC2FC1"/>
    <w:rsid w:val="00CC3586"/>
    <w:rsid w:val="00CC3C1F"/>
    <w:rsid w:val="00CD2AA5"/>
    <w:rsid w:val="00CD7BFD"/>
    <w:rsid w:val="00CE6B75"/>
    <w:rsid w:val="00CF341B"/>
    <w:rsid w:val="00CF36D7"/>
    <w:rsid w:val="00CF62C9"/>
    <w:rsid w:val="00CF63B1"/>
    <w:rsid w:val="00CF70AF"/>
    <w:rsid w:val="00D03C5B"/>
    <w:rsid w:val="00D10F44"/>
    <w:rsid w:val="00D136E6"/>
    <w:rsid w:val="00D21958"/>
    <w:rsid w:val="00D30673"/>
    <w:rsid w:val="00D32BD1"/>
    <w:rsid w:val="00D3300D"/>
    <w:rsid w:val="00D34FD8"/>
    <w:rsid w:val="00D84F23"/>
    <w:rsid w:val="00D86287"/>
    <w:rsid w:val="00D901B2"/>
    <w:rsid w:val="00D91C42"/>
    <w:rsid w:val="00D95506"/>
    <w:rsid w:val="00DB229D"/>
    <w:rsid w:val="00DB4AF8"/>
    <w:rsid w:val="00DD066F"/>
    <w:rsid w:val="00DE7CBE"/>
    <w:rsid w:val="00DF1A08"/>
    <w:rsid w:val="00E0279D"/>
    <w:rsid w:val="00E074B9"/>
    <w:rsid w:val="00E205F0"/>
    <w:rsid w:val="00E22900"/>
    <w:rsid w:val="00E26AEA"/>
    <w:rsid w:val="00E419CF"/>
    <w:rsid w:val="00E42BFF"/>
    <w:rsid w:val="00E85040"/>
    <w:rsid w:val="00E917F5"/>
    <w:rsid w:val="00E92087"/>
    <w:rsid w:val="00EB1EC1"/>
    <w:rsid w:val="00EC2083"/>
    <w:rsid w:val="00EC2775"/>
    <w:rsid w:val="00ED0447"/>
    <w:rsid w:val="00ED23A7"/>
    <w:rsid w:val="00EE1B74"/>
    <w:rsid w:val="00EF7D40"/>
    <w:rsid w:val="00F12845"/>
    <w:rsid w:val="00F14D24"/>
    <w:rsid w:val="00F21EBC"/>
    <w:rsid w:val="00F3159B"/>
    <w:rsid w:val="00F34D8E"/>
    <w:rsid w:val="00F476CE"/>
    <w:rsid w:val="00F5335D"/>
    <w:rsid w:val="00F700B2"/>
    <w:rsid w:val="00F7465B"/>
    <w:rsid w:val="00F76867"/>
    <w:rsid w:val="00F87547"/>
    <w:rsid w:val="00FA24EE"/>
    <w:rsid w:val="00FA27C7"/>
    <w:rsid w:val="00FA4A92"/>
    <w:rsid w:val="00FA5F18"/>
    <w:rsid w:val="00FC2E0A"/>
    <w:rsid w:val="00FC4916"/>
    <w:rsid w:val="00FC616C"/>
    <w:rsid w:val="00FF00FB"/>
    <w:rsid w:val="00FF2EB3"/>
    <w:rsid w:val="00FF5F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8E7A"/>
  <w15:chartTrackingRefBased/>
  <w15:docId w15:val="{140AF1C4-7F58-431A-87C0-ECC12460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0223"/>
    <w:pPr>
      <w:ind w:left="720"/>
      <w:contextualSpacing/>
    </w:pPr>
  </w:style>
  <w:style w:type="paragraph" w:styleId="Textedebulles">
    <w:name w:val="Balloon Text"/>
    <w:basedOn w:val="Normal"/>
    <w:link w:val="TextedebullesCar"/>
    <w:uiPriority w:val="99"/>
    <w:semiHidden/>
    <w:unhideWhenUsed/>
    <w:rsid w:val="004D75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7509"/>
    <w:rPr>
      <w:rFonts w:ascii="Segoe UI" w:hAnsi="Segoe UI" w:cs="Segoe UI"/>
      <w:sz w:val="18"/>
      <w:szCs w:val="18"/>
    </w:rPr>
  </w:style>
  <w:style w:type="paragraph" w:styleId="En-tte">
    <w:name w:val="header"/>
    <w:basedOn w:val="Normal"/>
    <w:link w:val="En-tteCar"/>
    <w:uiPriority w:val="99"/>
    <w:unhideWhenUsed/>
    <w:rsid w:val="000751F4"/>
    <w:pPr>
      <w:tabs>
        <w:tab w:val="center" w:pos="4536"/>
        <w:tab w:val="right" w:pos="9072"/>
      </w:tabs>
      <w:spacing w:after="0" w:line="240" w:lineRule="auto"/>
    </w:pPr>
  </w:style>
  <w:style w:type="character" w:customStyle="1" w:styleId="En-tteCar">
    <w:name w:val="En-tête Car"/>
    <w:basedOn w:val="Policepardfaut"/>
    <w:link w:val="En-tte"/>
    <w:uiPriority w:val="99"/>
    <w:rsid w:val="000751F4"/>
  </w:style>
  <w:style w:type="paragraph" w:styleId="Pieddepage">
    <w:name w:val="footer"/>
    <w:basedOn w:val="Normal"/>
    <w:link w:val="PieddepageCar"/>
    <w:uiPriority w:val="99"/>
    <w:unhideWhenUsed/>
    <w:rsid w:val="000751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51F4"/>
  </w:style>
  <w:style w:type="table" w:styleId="Grilledutableau">
    <w:name w:val="Table Grid"/>
    <w:basedOn w:val="TableauNormal"/>
    <w:uiPriority w:val="39"/>
    <w:rsid w:val="008B0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08C30-D532-472E-86D3-E6ABBB09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1690</Words>
  <Characters>9295</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Etienne</dc:creator>
  <cp:keywords/>
  <dc:description/>
  <cp:lastModifiedBy>van de Werve Conrad</cp:lastModifiedBy>
  <cp:revision>5</cp:revision>
  <cp:lastPrinted>2021-02-17T13:43:00Z</cp:lastPrinted>
  <dcterms:created xsi:type="dcterms:W3CDTF">2021-02-23T10:12:00Z</dcterms:created>
  <dcterms:modified xsi:type="dcterms:W3CDTF">2021-02-23T10:45:00Z</dcterms:modified>
</cp:coreProperties>
</file>